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08" w:rsidRDefault="00147E42" w:rsidP="00F81B76">
      <w:pPr>
        <w:jc w:val="center"/>
        <w:rPr>
          <w:rStyle w:val="Heading1Char"/>
        </w:rPr>
      </w:pPr>
      <w:r w:rsidRPr="00851B0E">
        <w:rPr>
          <w:rStyle w:val="Heading1Char"/>
        </w:rPr>
        <w:t xml:space="preserve">The Development of </w:t>
      </w:r>
      <w:r w:rsidR="00A67030" w:rsidRPr="00851B0E">
        <w:rPr>
          <w:rStyle w:val="Heading1Char"/>
        </w:rPr>
        <w:t xml:space="preserve">Emergency </w:t>
      </w:r>
      <w:r w:rsidRPr="00851B0E">
        <w:rPr>
          <w:rStyle w:val="Heading1Char"/>
        </w:rPr>
        <w:t xml:space="preserve">Planning for People with Disabilities Though ADA </w:t>
      </w:r>
      <w:r w:rsidR="00A67030" w:rsidRPr="00851B0E">
        <w:rPr>
          <w:rStyle w:val="Heading1Char"/>
        </w:rPr>
        <w:t>Litigation</w:t>
      </w:r>
      <w:r w:rsidR="00A20879">
        <w:rPr>
          <w:rStyle w:val="EndnoteReference"/>
          <w:b/>
          <w:sz w:val="28"/>
          <w:szCs w:val="28"/>
        </w:rPr>
        <w:endnoteReference w:id="1"/>
      </w:r>
    </w:p>
    <w:p w:rsidR="007F7087" w:rsidRPr="00A20879" w:rsidRDefault="007F7087" w:rsidP="007817EE"/>
    <w:p w:rsidR="00A20879" w:rsidRPr="00851B0E" w:rsidRDefault="00A20879" w:rsidP="007817EE">
      <w:pPr>
        <w:pStyle w:val="Heading2"/>
      </w:pPr>
      <w:r w:rsidRPr="00851B0E">
        <w:t>Introduction</w:t>
      </w:r>
    </w:p>
    <w:p w:rsidR="007817EE" w:rsidRDefault="007817EE" w:rsidP="007817EE"/>
    <w:p w:rsidR="00855FCA" w:rsidRDefault="00351C5A" w:rsidP="007817EE">
      <w:r>
        <w:t xml:space="preserve">Since the </w:t>
      </w:r>
      <w:r w:rsidR="00415EE6">
        <w:t>Americans with Disabilities Act (ADA)</w:t>
      </w:r>
      <w:r w:rsidR="00415EE6">
        <w:rPr>
          <w:rStyle w:val="EndnoteReference"/>
        </w:rPr>
        <w:endnoteReference w:id="2"/>
      </w:r>
      <w:r>
        <w:t xml:space="preserve"> was passed in 1990, our country has experienced the terrorist attacks o</w:t>
      </w:r>
      <w:r w:rsidR="00185F28">
        <w:t>f</w:t>
      </w:r>
      <w:r>
        <w:t xml:space="preserve"> September 11</w:t>
      </w:r>
      <w:r w:rsidRPr="000E5D12">
        <w:rPr>
          <w:vertAlign w:val="superscript"/>
        </w:rPr>
        <w:t>th</w:t>
      </w:r>
      <w:r>
        <w:t>, numerous natural disasters from Hurricane Andrew in 1992 to Hurricane Harvey in 2017, and far too many tragic school shootings from Columbine to</w:t>
      </w:r>
      <w:r w:rsidRPr="00351C5A">
        <w:t xml:space="preserve"> Sandy Hook</w:t>
      </w:r>
      <w:r>
        <w:t>.</w:t>
      </w:r>
      <w:r w:rsidR="00415EE6">
        <w:t xml:space="preserve"> </w:t>
      </w:r>
    </w:p>
    <w:p w:rsidR="007817EE" w:rsidRDefault="007817EE" w:rsidP="007817EE"/>
    <w:p w:rsidR="004D4848" w:rsidRDefault="00351C5A" w:rsidP="007817EE">
      <w:r>
        <w:t>In the wake of these events, many state and local governments developed emergency preparedness plans to ensure the</w:t>
      </w:r>
      <w:r w:rsidR="00415EE6">
        <w:t xml:space="preserve"> safety of their citizens. </w:t>
      </w:r>
      <w:r>
        <w:t xml:space="preserve">Unfortunately, these plans </w:t>
      </w:r>
      <w:r w:rsidR="00415EE6">
        <w:t xml:space="preserve">frequently </w:t>
      </w:r>
      <w:r w:rsidR="00032350">
        <w:t xml:space="preserve">ignored the needs and </w:t>
      </w:r>
      <w:r>
        <w:t>rights of people with disabilities.</w:t>
      </w:r>
      <w:r w:rsidR="00415EE6">
        <w:rPr>
          <w:rStyle w:val="EndnoteReference"/>
        </w:rPr>
        <w:endnoteReference w:id="3"/>
      </w:r>
      <w:r w:rsidR="00855FCA">
        <w:t xml:space="preserve"> </w:t>
      </w:r>
      <w:r w:rsidR="00415EE6">
        <w:t xml:space="preserve">This neglect is likely </w:t>
      </w:r>
      <w:r w:rsidR="00185F28">
        <w:t>because</w:t>
      </w:r>
      <w:r w:rsidR="00415EE6">
        <w:t xml:space="preserve">, in part, the ADA </w:t>
      </w:r>
      <w:r w:rsidR="00DE270D">
        <w:t>contains no requirements specific t</w:t>
      </w:r>
      <w:r w:rsidR="00415EE6">
        <w:t xml:space="preserve">o emergency </w:t>
      </w:r>
      <w:r w:rsidR="001F5069">
        <w:t>planning</w:t>
      </w:r>
      <w:r w:rsidR="00415EE6">
        <w:t xml:space="preserve">. </w:t>
      </w:r>
      <w:r>
        <w:t xml:space="preserve">While Title II of the ADA </w:t>
      </w:r>
      <w:r w:rsidR="00A20879">
        <w:t xml:space="preserve">and its implementing regulations clearly </w:t>
      </w:r>
      <w:r w:rsidR="00FB6274">
        <w:t xml:space="preserve">prohibit discrimination </w:t>
      </w:r>
      <w:r w:rsidR="00DE270D">
        <w:t xml:space="preserve">against </w:t>
      </w:r>
      <w:r w:rsidR="00FB6274">
        <w:t>people with disabilities and mandate that accommodations be provided,</w:t>
      </w:r>
      <w:r w:rsidR="004D4848">
        <w:rPr>
          <w:rStyle w:val="EndnoteReference"/>
        </w:rPr>
        <w:endnoteReference w:id="4"/>
      </w:r>
      <w:r w:rsidR="00415EE6">
        <w:t xml:space="preserve"> there are no </w:t>
      </w:r>
      <w:r w:rsidR="00855FCA">
        <w:t xml:space="preserve">explicit </w:t>
      </w:r>
      <w:r w:rsidR="00415EE6">
        <w:t>references to the obligations of government</w:t>
      </w:r>
      <w:r w:rsidR="004D4848">
        <w:t xml:space="preserve">al entities </w:t>
      </w:r>
      <w:r w:rsidR="00415EE6">
        <w:t>to integrate disability issues and concerns into emergency planning</w:t>
      </w:r>
      <w:r w:rsidR="004D4848">
        <w:t>.  This lack of guidance has meant that the ADA’s application to emergency preparedness has largely been developed through litigation.</w:t>
      </w:r>
    </w:p>
    <w:p w:rsidR="007817EE" w:rsidRDefault="007817EE" w:rsidP="007817EE"/>
    <w:p w:rsidR="004D4848" w:rsidRDefault="004D4848" w:rsidP="007817EE">
      <w:r>
        <w:t>This brief will review the recognition and development of the rights of people with disabilities in emergency planning</w:t>
      </w:r>
      <w:r w:rsidR="008B3A5F">
        <w:t xml:space="preserve"> through the courts</w:t>
      </w:r>
      <w:r>
        <w:t xml:space="preserve">.  First, the brief will review </w:t>
      </w:r>
      <w:r w:rsidR="008B3A5F">
        <w:t>litigation</w:t>
      </w:r>
      <w:r>
        <w:t xml:space="preserve"> brought against state and local governments for failing to adequately protect and accommodate </w:t>
      </w:r>
      <w:r w:rsidR="001F5069">
        <w:t>people</w:t>
      </w:r>
      <w:r>
        <w:t xml:space="preserve"> with disabilities. </w:t>
      </w:r>
      <w:r w:rsidR="00A20879">
        <w:t xml:space="preserve"> Next,</w:t>
      </w:r>
      <w:r>
        <w:t xml:space="preserve"> </w:t>
      </w:r>
      <w:r w:rsidR="00A20879">
        <w:t>it will discuss h</w:t>
      </w:r>
      <w:r>
        <w:t xml:space="preserve">ow the ADA has been applied to the specific </w:t>
      </w:r>
      <w:r w:rsidR="0047122E">
        <w:t xml:space="preserve">setting </w:t>
      </w:r>
      <w:r>
        <w:t xml:space="preserve">of emergencies arising in </w:t>
      </w:r>
      <w:r w:rsidR="00A20879">
        <w:t xml:space="preserve">schools. Then, it will review </w:t>
      </w:r>
      <w:r w:rsidR="00855FCA">
        <w:t xml:space="preserve">an </w:t>
      </w:r>
      <w:r w:rsidR="006B50ED">
        <w:t>early ADA decision in which the</w:t>
      </w:r>
      <w:r w:rsidR="00A20879">
        <w:t xml:space="preserve"> defense of direct threat </w:t>
      </w:r>
      <w:r w:rsidR="006B50ED">
        <w:t>was used in the context of emergency evacuation</w:t>
      </w:r>
      <w:r w:rsidR="00A20879">
        <w:t>.  Finally, the brief will look at guidance and resources from the federal government to ensure that people with disabilities are fully incorporated into emergency planning.</w:t>
      </w:r>
    </w:p>
    <w:p w:rsidR="007F7087" w:rsidRDefault="007F7087" w:rsidP="00F81B76">
      <w:r>
        <w:br w:type="page"/>
      </w:r>
    </w:p>
    <w:p w:rsidR="00A20879" w:rsidRDefault="00147E42" w:rsidP="00F81B76">
      <w:pPr>
        <w:pStyle w:val="Heading2"/>
      </w:pPr>
      <w:r>
        <w:lastRenderedPageBreak/>
        <w:t xml:space="preserve">Emergency Preparedness </w:t>
      </w:r>
      <w:r w:rsidR="00A20879" w:rsidRPr="00F31C6C">
        <w:t>Litigation Against State and Local Governments</w:t>
      </w:r>
    </w:p>
    <w:p w:rsidR="00F31C6C" w:rsidRPr="00F31C6C" w:rsidRDefault="00F31C6C" w:rsidP="007817EE">
      <w:pPr>
        <w:pStyle w:val="ListParagraph"/>
      </w:pPr>
    </w:p>
    <w:p w:rsidR="00F35021" w:rsidRPr="00851B0E" w:rsidRDefault="00F35021" w:rsidP="007817EE">
      <w:pPr>
        <w:pStyle w:val="Heading3"/>
        <w:numPr>
          <w:ilvl w:val="0"/>
          <w:numId w:val="25"/>
        </w:numPr>
      </w:pPr>
      <w:r w:rsidRPr="00851B0E">
        <w:t>California Foundation for Independent Living Centers v. City of Oakland</w:t>
      </w:r>
      <w:r w:rsidR="008401B5" w:rsidRPr="00851B0E">
        <w:t xml:space="preserve"> (2007)</w:t>
      </w:r>
    </w:p>
    <w:p w:rsidR="00F31C6C" w:rsidRDefault="00F31C6C" w:rsidP="007817EE"/>
    <w:p w:rsidR="004F2D63" w:rsidRDefault="008B3A5F" w:rsidP="007817EE">
      <w:r>
        <w:t xml:space="preserve">The first major ADA case brought by people with disabilities against state and local governments for failing to include them in emergency planning was </w:t>
      </w:r>
      <w:r w:rsidRPr="00707BC8">
        <w:rPr>
          <w:i/>
        </w:rPr>
        <w:t>California Foundation for Independent Living Centers v. City of Oakland.</w:t>
      </w:r>
      <w:r>
        <w:rPr>
          <w:rStyle w:val="EndnoteReference"/>
          <w:i/>
        </w:rPr>
        <w:endnoteReference w:id="5"/>
      </w:r>
      <w:r>
        <w:t xml:space="preserve"> </w:t>
      </w:r>
      <w:r w:rsidR="00F35021">
        <w:t xml:space="preserve"> The plaintiffs in this case were two disability rights advocacy organizations and </w:t>
      </w:r>
      <w:r w:rsidR="001F26ED">
        <w:t>a woman</w:t>
      </w:r>
      <w:r w:rsidR="00F35021">
        <w:t xml:space="preserve"> with a </w:t>
      </w:r>
      <w:r w:rsidR="001F26ED">
        <w:t xml:space="preserve">mobility </w:t>
      </w:r>
      <w:r w:rsidR="00F35021">
        <w:t>disability</w:t>
      </w:r>
      <w:r w:rsidR="00855FCA">
        <w:t>,</w:t>
      </w:r>
      <w:r w:rsidR="00F35021">
        <w:t xml:space="preserve"> who was concerned that the City of Oakland was not prepared to meet her specific needs in the event of an emergency. </w:t>
      </w:r>
    </w:p>
    <w:p w:rsidR="004F2D63" w:rsidRDefault="004F2D63" w:rsidP="007817EE"/>
    <w:p w:rsidR="004F2D63" w:rsidRDefault="00F35021" w:rsidP="007817EE">
      <w:r>
        <w:t>The suit alleged that the City of Oakl</w:t>
      </w:r>
      <w:r w:rsidR="00FB6274">
        <w:t>and was discriminating against more than</w:t>
      </w:r>
      <w:r>
        <w:t xml:space="preserve"> 84,000 residents with disabilities by failing to </w:t>
      </w:r>
      <w:r w:rsidR="004F2D63">
        <w:t xml:space="preserve">develop an emergency preparedness plan that sufficiently </w:t>
      </w:r>
      <w:r w:rsidR="00855FCA">
        <w:t>addressed t</w:t>
      </w:r>
      <w:r>
        <w:t>he unique needs of people with disabilities</w:t>
      </w:r>
      <w:r w:rsidR="004F2D63">
        <w:t>.</w:t>
      </w:r>
      <w:r>
        <w:t xml:space="preserve"> Claims were brought under the ADA, Section 504 of the Rehabilitation Act,</w:t>
      </w:r>
      <w:r>
        <w:rPr>
          <w:rStyle w:val="EndnoteReference"/>
        </w:rPr>
        <w:endnoteReference w:id="6"/>
      </w:r>
      <w:r>
        <w:t xml:space="preserve"> and </w:t>
      </w:r>
      <w:r w:rsidR="004F2D63">
        <w:t xml:space="preserve">California state law.  </w:t>
      </w:r>
      <w:r w:rsidR="00DE270D">
        <w:t>Oakland had a Mass Care and Shelter Plan to provide for immediate shelter, feeding centers, first aid, bulk distribution of needed items</w:t>
      </w:r>
      <w:r w:rsidR="008401B5">
        <w:t>,</w:t>
      </w:r>
      <w:r w:rsidR="00DE270D">
        <w:t xml:space="preserve"> and other related services for people affected by a large</w:t>
      </w:r>
      <w:r w:rsidR="008401B5">
        <w:t>-scale incident.  However, the c</w:t>
      </w:r>
      <w:r w:rsidR="00DE270D">
        <w:t xml:space="preserve">omplaint alleged that this Plan failed to address the needs of </w:t>
      </w:r>
      <w:r w:rsidR="004F2D63">
        <w:t xml:space="preserve">people with disabilities and </w:t>
      </w:r>
      <w:r w:rsidR="0047122E">
        <w:t xml:space="preserve">highlighted </w:t>
      </w:r>
      <w:r w:rsidR="004F2D63">
        <w:t xml:space="preserve">the inaccessibility of many of the potential emergency shelters, including </w:t>
      </w:r>
      <w:r w:rsidR="008401B5">
        <w:t xml:space="preserve">the inaccessibility of </w:t>
      </w:r>
      <w:r w:rsidR="004F2D63">
        <w:t>entrances, parking, paths of travel, signage, toilets and showers.</w:t>
      </w:r>
    </w:p>
    <w:p w:rsidR="004F2D63" w:rsidRDefault="004F2D63" w:rsidP="007817EE"/>
    <w:p w:rsidR="004F2D63" w:rsidRDefault="004F2D63" w:rsidP="007817EE">
      <w:r>
        <w:t xml:space="preserve">Shortly after </w:t>
      </w:r>
      <w:r w:rsidR="008401B5">
        <w:t>the suit was filed</w:t>
      </w:r>
      <w:r>
        <w:t xml:space="preserve">, the parties negotiated a settlement. As a result, there was no determination </w:t>
      </w:r>
      <w:r w:rsidR="001F5069">
        <w:t xml:space="preserve">by the court </w:t>
      </w:r>
      <w:r>
        <w:t xml:space="preserve">as to whether the City of Oakland violated the ADA, or even whether Title II of the ADA applied to emergency planning.  Under the settlement, the parties developed a Mass Care and Shelter Plan Annex to be incorporated into Oakland’s broader emergency preparedness plan. Under the </w:t>
      </w:r>
      <w:r w:rsidR="00FB6274">
        <w:t xml:space="preserve">Mass Care and Shelter </w:t>
      </w:r>
      <w:r>
        <w:t xml:space="preserve">Plan Annex, the City of Oakland </w:t>
      </w:r>
      <w:r w:rsidR="001F5069">
        <w:t>agreed to:</w:t>
      </w:r>
    </w:p>
    <w:p w:rsidR="007817EE" w:rsidRDefault="007817EE" w:rsidP="007817EE"/>
    <w:p w:rsidR="00032350" w:rsidRPr="006F7BFB" w:rsidRDefault="00FB6274" w:rsidP="007817EE">
      <w:pPr>
        <w:pStyle w:val="ListParagraph"/>
        <w:numPr>
          <w:ilvl w:val="0"/>
          <w:numId w:val="2"/>
        </w:numPr>
      </w:pPr>
      <w:r>
        <w:t>p</w:t>
      </w:r>
      <w:r w:rsidR="00032350" w:rsidRPr="006F7BFB">
        <w:t xml:space="preserve">rovide voice/text emergency notifications through public access television network, including </w:t>
      </w:r>
      <w:r w:rsidR="001F26ED">
        <w:t xml:space="preserve">an </w:t>
      </w:r>
      <w:r w:rsidR="00032350" w:rsidRPr="006F7BFB">
        <w:t>accessibility statement in emergency notifications</w:t>
      </w:r>
      <w:r w:rsidR="001F5069">
        <w:t>;</w:t>
      </w:r>
    </w:p>
    <w:p w:rsidR="00032350" w:rsidRPr="006F7BFB" w:rsidRDefault="00FB6274" w:rsidP="007817EE">
      <w:pPr>
        <w:pStyle w:val="ListParagraph"/>
        <w:numPr>
          <w:ilvl w:val="0"/>
          <w:numId w:val="2"/>
        </w:numPr>
      </w:pPr>
      <w:r>
        <w:t>i</w:t>
      </w:r>
      <w:r w:rsidR="00032350" w:rsidRPr="006F7BFB">
        <w:t>dentify vendors for durable medical equipment for emergencies</w:t>
      </w:r>
      <w:r w:rsidR="001F5069">
        <w:t>;</w:t>
      </w:r>
    </w:p>
    <w:p w:rsidR="00032350" w:rsidRPr="006F7BFB" w:rsidRDefault="00FB6274" w:rsidP="007817EE">
      <w:pPr>
        <w:pStyle w:val="ListParagraph"/>
        <w:numPr>
          <w:ilvl w:val="0"/>
          <w:numId w:val="2"/>
        </w:numPr>
      </w:pPr>
      <w:r>
        <w:t>e</w:t>
      </w:r>
      <w:r w:rsidR="00032350" w:rsidRPr="006F7BFB">
        <w:t>stablish “functional needs coordinators” at s</w:t>
      </w:r>
      <w:r w:rsidR="00855FCA">
        <w:t>helters to identify and assist people</w:t>
      </w:r>
      <w:r w:rsidR="00032350" w:rsidRPr="006F7BFB">
        <w:t xml:space="preserve"> with disabilities</w:t>
      </w:r>
      <w:r w:rsidR="001F5069">
        <w:t>;</w:t>
      </w:r>
    </w:p>
    <w:p w:rsidR="00032350" w:rsidRDefault="00FB6274" w:rsidP="007817EE">
      <w:pPr>
        <w:pStyle w:val="ListParagraph"/>
        <w:numPr>
          <w:ilvl w:val="0"/>
          <w:numId w:val="2"/>
        </w:numPr>
      </w:pPr>
      <w:r>
        <w:t>m</w:t>
      </w:r>
      <w:r w:rsidR="00032350" w:rsidRPr="006F7BFB">
        <w:t xml:space="preserve">ake available </w:t>
      </w:r>
      <w:r w:rsidR="001F5069">
        <w:t>American Sign Language</w:t>
      </w:r>
      <w:r w:rsidR="00032350" w:rsidRPr="006F7BFB">
        <w:t xml:space="preserve"> interpreters or remote video interpreters for deaf and hard of hearing individuals in emergency shelters</w:t>
      </w:r>
      <w:r w:rsidR="001F5069">
        <w:t>;</w:t>
      </w:r>
    </w:p>
    <w:p w:rsidR="00032350" w:rsidRPr="006F7BFB" w:rsidRDefault="00FB6274" w:rsidP="007817EE">
      <w:pPr>
        <w:pStyle w:val="ListParagraph"/>
        <w:numPr>
          <w:ilvl w:val="0"/>
          <w:numId w:val="2"/>
        </w:numPr>
      </w:pPr>
      <w:r>
        <w:t>e</w:t>
      </w:r>
      <w:r w:rsidR="00032350" w:rsidRPr="006F7BFB">
        <w:t>valuate all emergency shelters for physical and programmatic accessibility</w:t>
      </w:r>
      <w:r w:rsidR="001F5069">
        <w:t>;</w:t>
      </w:r>
    </w:p>
    <w:p w:rsidR="00032350" w:rsidRPr="006F7BFB" w:rsidRDefault="00FB6274" w:rsidP="007817EE">
      <w:pPr>
        <w:pStyle w:val="ListParagraph"/>
        <w:numPr>
          <w:ilvl w:val="0"/>
          <w:numId w:val="2"/>
        </w:numPr>
      </w:pPr>
      <w:r>
        <w:t>a</w:t>
      </w:r>
      <w:r w:rsidR="00032350" w:rsidRPr="006F7BFB">
        <w:t xml:space="preserve">dopt </w:t>
      </w:r>
      <w:r w:rsidR="00121256">
        <w:t xml:space="preserve">accessible </w:t>
      </w:r>
      <w:r w:rsidR="00032350" w:rsidRPr="006F7BFB">
        <w:t xml:space="preserve">transportation procedures for </w:t>
      </w:r>
      <w:r w:rsidR="00121256">
        <w:t xml:space="preserve">the </w:t>
      </w:r>
      <w:r w:rsidR="00032350" w:rsidRPr="006F7BFB">
        <w:t>evacuation of people with disabilities</w:t>
      </w:r>
      <w:r w:rsidR="001F5069">
        <w:t>;</w:t>
      </w:r>
    </w:p>
    <w:p w:rsidR="00032350" w:rsidRPr="006F7BFB" w:rsidRDefault="00FB6274" w:rsidP="007817EE">
      <w:pPr>
        <w:pStyle w:val="ListParagraph"/>
        <w:numPr>
          <w:ilvl w:val="0"/>
          <w:numId w:val="2"/>
        </w:numPr>
      </w:pPr>
      <w:r>
        <w:t>u</w:t>
      </w:r>
      <w:r w:rsidR="00032350" w:rsidRPr="006F7BFB">
        <w:t>pdate</w:t>
      </w:r>
      <w:r w:rsidR="001F5069">
        <w:t xml:space="preserve"> and </w:t>
      </w:r>
      <w:r w:rsidR="00032350" w:rsidRPr="006F7BFB">
        <w:t xml:space="preserve">improve </w:t>
      </w:r>
      <w:r w:rsidR="001F5069">
        <w:t>Oakland’s</w:t>
      </w:r>
      <w:r w:rsidR="00032350" w:rsidRPr="006F7BFB">
        <w:t xml:space="preserve"> Geographic Information System for identifying and locating people with disabilities during emergencies</w:t>
      </w:r>
      <w:r w:rsidR="001F5069">
        <w:t xml:space="preserve">; and </w:t>
      </w:r>
    </w:p>
    <w:p w:rsidR="00032350" w:rsidRPr="006F7BFB" w:rsidRDefault="00FB6274" w:rsidP="007817EE">
      <w:pPr>
        <w:pStyle w:val="ListParagraph"/>
        <w:numPr>
          <w:ilvl w:val="0"/>
          <w:numId w:val="2"/>
        </w:numPr>
      </w:pPr>
      <w:r>
        <w:t>e</w:t>
      </w:r>
      <w:r w:rsidR="00032350" w:rsidRPr="006F7BFB">
        <w:t>stablish a medical shelter for people with disabilities who can</w:t>
      </w:r>
      <w:r w:rsidR="001F26ED">
        <w:t xml:space="preserve">not be adequately served in </w:t>
      </w:r>
      <w:r w:rsidR="00032350" w:rsidRPr="006F7BFB">
        <w:t>other emergency shelters</w:t>
      </w:r>
      <w:r w:rsidR="001F5069">
        <w:t>.</w:t>
      </w:r>
      <w:r w:rsidR="001F26ED">
        <w:rPr>
          <w:rStyle w:val="EndnoteReference"/>
        </w:rPr>
        <w:endnoteReference w:id="7"/>
      </w:r>
    </w:p>
    <w:p w:rsidR="006F7BFB" w:rsidRPr="006F7BFB" w:rsidRDefault="006F7BFB" w:rsidP="007817EE"/>
    <w:p w:rsidR="004F2D63" w:rsidRPr="00F31C6C" w:rsidRDefault="00851B0E" w:rsidP="007817EE">
      <w:pPr>
        <w:pStyle w:val="Heading3"/>
      </w:pPr>
      <w:r>
        <w:t xml:space="preserve">B. </w:t>
      </w:r>
      <w:r w:rsidR="001F5069" w:rsidRPr="00F31C6C">
        <w:t>Communities Actively Living Independent and Free v. City of Los Angeles</w:t>
      </w:r>
      <w:r w:rsidR="0051072B">
        <w:t xml:space="preserve"> </w:t>
      </w:r>
      <w:r w:rsidR="0051072B" w:rsidRPr="0051072B">
        <w:t>(2009)</w:t>
      </w:r>
    </w:p>
    <w:p w:rsidR="00F31C6C" w:rsidRDefault="00F31C6C" w:rsidP="007817EE"/>
    <w:p w:rsidR="001F5069" w:rsidRDefault="001F5069" w:rsidP="007817EE">
      <w:r>
        <w:t xml:space="preserve">The next major emergency preparedness case was also brought in California, </w:t>
      </w:r>
      <w:r w:rsidR="00262849" w:rsidRPr="00262849">
        <w:rPr>
          <w:i/>
        </w:rPr>
        <w:t>Communities Actively Living Independent and Free v. City of Los Angeles.</w:t>
      </w:r>
      <w:r w:rsidR="00262849" w:rsidRPr="00262849">
        <w:rPr>
          <w:rStyle w:val="EndnoteReference"/>
          <w:bCs/>
          <w:i/>
          <w:iCs/>
        </w:rPr>
        <w:endnoteReference w:id="8"/>
      </w:r>
      <w:r w:rsidR="009878A8">
        <w:rPr>
          <w:b/>
          <w:i/>
        </w:rPr>
        <w:t xml:space="preserve"> </w:t>
      </w:r>
      <w:r w:rsidR="00EE03D5">
        <w:t xml:space="preserve"> The named plaintiffs in this class action were a disability rights advocacy organization and a woman with a mobility disability. </w:t>
      </w:r>
      <w:r w:rsidR="00823FF7">
        <w:t xml:space="preserve">As in the Oakland litigation, claims were brought under the ADA, Section 504 of the Rehabilitation Act and </w:t>
      </w:r>
      <w:r w:rsidR="00677E6C">
        <w:t xml:space="preserve">California </w:t>
      </w:r>
      <w:r w:rsidR="00823FF7">
        <w:t>state law. The defendants were the City and the County of Los Angeles</w:t>
      </w:r>
      <w:r w:rsidR="0038368D">
        <w:t>.  The plaintiffs reached a</w:t>
      </w:r>
      <w:r w:rsidR="00823FF7">
        <w:t xml:space="preserve"> settlement with the County</w:t>
      </w:r>
      <w:r w:rsidR="00121256">
        <w:t xml:space="preserve">, but not the City. Accordingly, </w:t>
      </w:r>
      <w:r w:rsidR="0038368D">
        <w:t>the plaintiffs filed a motion for summary judgment arg</w:t>
      </w:r>
      <w:r w:rsidR="00121256">
        <w:t>uing that there were no issue</w:t>
      </w:r>
      <w:r w:rsidR="0038368D">
        <w:t xml:space="preserve">s of </w:t>
      </w:r>
      <w:r w:rsidR="001F26ED">
        <w:t xml:space="preserve">material </w:t>
      </w:r>
      <w:r w:rsidR="0038368D">
        <w:t>fact and that judgment should be entered in their favor.</w:t>
      </w:r>
    </w:p>
    <w:p w:rsidR="0038368D" w:rsidRDefault="0038368D" w:rsidP="007817EE"/>
    <w:p w:rsidR="0038368D" w:rsidRDefault="0038368D" w:rsidP="007817EE">
      <w:r>
        <w:t xml:space="preserve">The City claimed that it could meet the needs of people with disabilities by providing them with </w:t>
      </w:r>
      <w:r>
        <w:rPr>
          <w:i/>
        </w:rPr>
        <w:t>ad hoc</w:t>
      </w:r>
      <w:r>
        <w:t xml:space="preserve"> accommodations</w:t>
      </w:r>
      <w:r w:rsidR="00366A1A">
        <w:t xml:space="preserve"> upon request.  The City argued that its position was consistent with other aspects of the ADA, such as the provision requiring reasonable accommodations in the workplace.  Similar to how employees must generally </w:t>
      </w:r>
      <w:r w:rsidR="00121256">
        <w:t xml:space="preserve">make the initial request to </w:t>
      </w:r>
      <w:r w:rsidR="00C53175">
        <w:t xml:space="preserve">trigger the </w:t>
      </w:r>
      <w:r w:rsidR="00121256">
        <w:t xml:space="preserve">reasonable </w:t>
      </w:r>
      <w:r w:rsidR="00C53175">
        <w:t>accommodation process</w:t>
      </w:r>
      <w:r w:rsidR="00366A1A">
        <w:t xml:space="preserve">, </w:t>
      </w:r>
      <w:r w:rsidR="001F26ED">
        <w:t xml:space="preserve">the City argued that </w:t>
      </w:r>
      <w:r w:rsidR="003D641C">
        <w:t xml:space="preserve">people with disabilities must make requests for emergency assistance </w:t>
      </w:r>
      <w:r w:rsidR="00C53175">
        <w:t xml:space="preserve">to trigger the City’s responsibilities under the ADA, </w:t>
      </w:r>
      <w:r w:rsidR="003D641C">
        <w:t>and the City w</w:t>
      </w:r>
      <w:r w:rsidR="001F26ED">
        <w:t>as not required to be proactive in planning for the needs of people with disabilities.</w:t>
      </w:r>
    </w:p>
    <w:p w:rsidR="003D641C" w:rsidRDefault="003D641C" w:rsidP="007817EE"/>
    <w:p w:rsidR="0051072B" w:rsidRDefault="0051072B" w:rsidP="007817EE">
      <w:r>
        <w:t>The U.S. Department of Justice was active in this case and filed a Statement of Interest in support of the plaintiffs.</w:t>
      </w:r>
      <w:r>
        <w:rPr>
          <w:rStyle w:val="EndnoteReference"/>
        </w:rPr>
        <w:endnoteReference w:id="9"/>
      </w:r>
      <w:r>
        <w:t xml:space="preserve"> In its brief, DOJ argued that the ADA requires state and local governments to plan and prepare for the needs of people with disabilities in advance, and that an </w:t>
      </w:r>
      <w:r>
        <w:rPr>
          <w:i/>
        </w:rPr>
        <w:t>ad hoc</w:t>
      </w:r>
      <w:r>
        <w:t xml:space="preserve"> response is insufficient.  DOJ also emphasized that the City had received $50 million in federal funds from the Federal Emergency Management Agency and failed to use those funds to include the needs of people with disabilities in its emergency planning. Finally, DOJ emphasized the Title II’s integration requirement, which states that people with disabilities should be as integrated as much as possible in state and local government programs, applies to emergency preparedness.</w:t>
      </w:r>
    </w:p>
    <w:p w:rsidR="0051072B" w:rsidRDefault="0051072B" w:rsidP="007817EE"/>
    <w:p w:rsidR="003D641C" w:rsidRDefault="003D641C" w:rsidP="007817EE">
      <w:r>
        <w:t>The court rejected the City’s arguments and ruled in favor of the plaintiffs.</w:t>
      </w:r>
      <w:r w:rsidR="00453768">
        <w:rPr>
          <w:rStyle w:val="EndnoteReference"/>
          <w:bCs/>
          <w:iCs/>
        </w:rPr>
        <w:endnoteReference w:id="10"/>
      </w:r>
      <w:r>
        <w:t xml:space="preserve"> First, the court held that emergency planning is a program under Title II of the ADA benefitting </w:t>
      </w:r>
      <w:r w:rsidR="003F2780">
        <w:t xml:space="preserve">the </w:t>
      </w:r>
      <w:r>
        <w:t>citizens of Los Angeles.</w:t>
      </w:r>
      <w:r w:rsidR="00FB3AF2">
        <w:rPr>
          <w:rStyle w:val="EndnoteReference"/>
          <w:bCs/>
          <w:iCs/>
        </w:rPr>
        <w:endnoteReference w:id="11"/>
      </w:r>
      <w:r>
        <w:t xml:space="preserve">  This finding was significant because it was the first time that a court had held that the ADA applies to a government’s emergency planning</w:t>
      </w:r>
      <w:r w:rsidR="001F26ED">
        <w:t xml:space="preserve"> process</w:t>
      </w:r>
      <w:r>
        <w:t xml:space="preserve">. </w:t>
      </w:r>
      <w:r w:rsidR="00895FAC">
        <w:t xml:space="preserve">The court then held </w:t>
      </w:r>
      <w:r w:rsidR="00031502">
        <w:t>that the City’s emergency planning violated the ADA by effectively excluding people w</w:t>
      </w:r>
      <w:r w:rsidR="00895FAC">
        <w:t xml:space="preserve">ith disabilities from </w:t>
      </w:r>
      <w:r w:rsidR="001F26ED">
        <w:t xml:space="preserve">the plan’s </w:t>
      </w:r>
      <w:r w:rsidR="00895FAC">
        <w:t>benefit</w:t>
      </w:r>
      <w:r w:rsidR="001F26ED">
        <w:t>s</w:t>
      </w:r>
      <w:r w:rsidR="00031502">
        <w:t xml:space="preserve">. Specifically, </w:t>
      </w:r>
      <w:r w:rsidR="003D1224">
        <w:t xml:space="preserve">the court found that the City’s emergency preparedness plan had no provisions for </w:t>
      </w:r>
      <w:r w:rsidR="00031502">
        <w:t xml:space="preserve">evacuating or temporarily housing people with disabilities, nor did it have any </w:t>
      </w:r>
      <w:r w:rsidR="003D1224">
        <w:t>provisions for alerting people with auditory or cognitive disabilities in the event of an emergency.</w:t>
      </w:r>
      <w:r w:rsidR="00135439">
        <w:rPr>
          <w:rStyle w:val="EndnoteReference"/>
          <w:bCs/>
          <w:iCs/>
        </w:rPr>
        <w:endnoteReference w:id="12"/>
      </w:r>
      <w:r w:rsidR="00031502">
        <w:t xml:space="preserve"> </w:t>
      </w:r>
    </w:p>
    <w:p w:rsidR="00AE4F96" w:rsidRDefault="00AE4F96" w:rsidP="007817EE"/>
    <w:p w:rsidR="00AE4F96" w:rsidRDefault="00C53175" w:rsidP="007817EE">
      <w:r>
        <w:t xml:space="preserve">The court found </w:t>
      </w:r>
      <w:r w:rsidR="00AE4F96" w:rsidRPr="00CB7D89">
        <w:t xml:space="preserve">a </w:t>
      </w:r>
      <w:r w:rsidR="00CB7D89" w:rsidRPr="00CB7D89">
        <w:t>report</w:t>
      </w:r>
      <w:r w:rsidR="00AE4F96" w:rsidRPr="00CB7D89">
        <w:t xml:space="preserve"> from the City’s Department on Disability </w:t>
      </w:r>
      <w:r w:rsidR="00CB7D89" w:rsidRPr="00CB7D89">
        <w:t xml:space="preserve">(“DOD”) </w:t>
      </w:r>
      <w:r w:rsidR="00AE4F96" w:rsidRPr="00CB7D89">
        <w:t>to be compelling</w:t>
      </w:r>
      <w:r>
        <w:t xml:space="preserve"> evidence that the City had failed </w:t>
      </w:r>
      <w:r w:rsidR="00FB6274">
        <w:t>to address</w:t>
      </w:r>
      <w:r>
        <w:t xml:space="preserve"> the needs of people with </w:t>
      </w:r>
      <w:r w:rsidR="00646D78">
        <w:t>disabilities</w:t>
      </w:r>
      <w:r w:rsidR="00AE4F96" w:rsidRPr="00CB7D89">
        <w:t>.</w:t>
      </w:r>
      <w:r w:rsidR="00CB7D89" w:rsidRPr="00CB7D89">
        <w:t xml:space="preserve"> The report said that the City's emergency preparedness program “is seriously out of compliance” with the ADA and Section 504 and the City's residents with disabilities “will continue to be at-risk for suffering and death in disproport</w:t>
      </w:r>
      <w:r w:rsidR="0051072B">
        <w:t xml:space="preserve">ionate numbers unless the City </w:t>
      </w:r>
      <w:r w:rsidR="0051072B" w:rsidRPr="007817EE">
        <w:t>d</w:t>
      </w:r>
      <w:r w:rsidR="00CB7D89" w:rsidRPr="007817EE">
        <w:t>rastically</w:t>
      </w:r>
      <w:r w:rsidR="00CB7D89" w:rsidRPr="00CB7D89">
        <w:t xml:space="preserve"> enhances the existing disability-related emergency management and disaster planning process and readiness as required by the ADA and other statutes.”</w:t>
      </w:r>
      <w:r w:rsidR="00FB3AF2">
        <w:rPr>
          <w:rStyle w:val="EndnoteReference"/>
        </w:rPr>
        <w:endnoteReference w:id="13"/>
      </w:r>
      <w:r w:rsidR="00CB7D89" w:rsidRPr="00CB7D89">
        <w:t> </w:t>
      </w:r>
      <w:r w:rsidR="008E45E8">
        <w:t>The court found that the City did not take DOD’s concerns seriously and failed to implement nearly all of DOD’s recommendations.</w:t>
      </w:r>
      <w:r w:rsidR="008E45E8">
        <w:rPr>
          <w:rStyle w:val="EndnoteReference"/>
        </w:rPr>
        <w:endnoteReference w:id="14"/>
      </w:r>
    </w:p>
    <w:p w:rsidR="008E45E8" w:rsidRDefault="008E45E8" w:rsidP="007817EE"/>
    <w:p w:rsidR="008E45E8" w:rsidRDefault="00CA7013" w:rsidP="007817EE">
      <w:r>
        <w:t xml:space="preserve">The court rejected the </w:t>
      </w:r>
      <w:r w:rsidR="008E45E8">
        <w:t>City’s arguments that</w:t>
      </w:r>
      <w:r>
        <w:t xml:space="preserve"> responding to the needs of people with disabilities on an </w:t>
      </w:r>
      <w:r w:rsidRPr="001F26ED">
        <w:rPr>
          <w:i/>
        </w:rPr>
        <w:t>ad hoc</w:t>
      </w:r>
      <w:r>
        <w:t xml:space="preserve"> basis is all that is required by the ADA, finding those arguments to be </w:t>
      </w:r>
      <w:r w:rsidR="00664EC6">
        <w:t>“</w:t>
      </w:r>
      <w:r w:rsidR="00664EC6" w:rsidRPr="00664EC6">
        <w:rPr>
          <w:color w:val="212121"/>
        </w:rPr>
        <w:t>both legally inadequate and practically unrealistic.</w:t>
      </w:r>
      <w:r w:rsidR="00664EC6">
        <w:rPr>
          <w:color w:val="212121"/>
        </w:rPr>
        <w:t>”</w:t>
      </w:r>
      <w:r w:rsidR="00664EC6">
        <w:rPr>
          <w:rStyle w:val="EndnoteReference"/>
          <w:color w:val="212121"/>
        </w:rPr>
        <w:endnoteReference w:id="15"/>
      </w:r>
      <w:r w:rsidR="00AA075B">
        <w:rPr>
          <w:color w:val="212121"/>
        </w:rPr>
        <w:t xml:space="preserve"> </w:t>
      </w:r>
      <w:r w:rsidR="00AA075B" w:rsidRPr="00611BEE">
        <w:t>Rather, the court held that the</w:t>
      </w:r>
      <w:r w:rsidR="00611BEE" w:rsidRPr="00611BEE">
        <w:t xml:space="preserve"> “p</w:t>
      </w:r>
      <w:r w:rsidR="00AA075B" w:rsidRPr="00611BEE">
        <w:t>urpose of the City's emergency preparedness program is to </w:t>
      </w:r>
      <w:r w:rsidR="00AA075B" w:rsidRPr="00611BEE">
        <w:rPr>
          <w:rStyle w:val="Emphasis"/>
        </w:rPr>
        <w:t>anticipate</w:t>
      </w:r>
      <w:r w:rsidR="00AA075B" w:rsidRPr="00611BEE">
        <w:t> the needs of its residents in the event of an emergency and to </w:t>
      </w:r>
      <w:r w:rsidR="00AA075B" w:rsidRPr="00611BEE">
        <w:rPr>
          <w:rStyle w:val="Emphasis"/>
        </w:rPr>
        <w:t>minimize</w:t>
      </w:r>
      <w:r w:rsidR="00AA075B" w:rsidRPr="00611BEE">
        <w:t> the very type of last-minute, individualized requests for assistance described by the City, particularly when the City's infrastructure may be substantially compromised or strained by an imminent or ongoing emergency or disaster</w:t>
      </w:r>
      <w:r w:rsidR="00611BEE">
        <w:t>.”</w:t>
      </w:r>
      <w:r w:rsidR="00611BEE">
        <w:rPr>
          <w:rStyle w:val="EndnoteReference"/>
        </w:rPr>
        <w:endnoteReference w:id="16"/>
      </w:r>
      <w:r w:rsidR="002732A9">
        <w:t xml:space="preserve">  Accordingly, the court entered an Order requiring the City to hire an expert and revise the City’s emergency preparedness program.</w:t>
      </w:r>
      <w:r w:rsidR="002732A9">
        <w:rPr>
          <w:rStyle w:val="EndnoteReference"/>
        </w:rPr>
        <w:endnoteReference w:id="17"/>
      </w:r>
    </w:p>
    <w:p w:rsidR="00851B0E" w:rsidRDefault="00851B0E" w:rsidP="007817EE"/>
    <w:p w:rsidR="000653E5" w:rsidRDefault="000653E5" w:rsidP="00F81B76">
      <w:pPr>
        <w:pStyle w:val="Heading3"/>
        <w:numPr>
          <w:ilvl w:val="0"/>
          <w:numId w:val="27"/>
        </w:numPr>
      </w:pPr>
      <w:r w:rsidRPr="00F31C6C">
        <w:t>Brooklyn Center for Independence v. Bloomberg</w:t>
      </w:r>
      <w:r w:rsidR="0051072B">
        <w:t xml:space="preserve"> (2011)</w:t>
      </w:r>
    </w:p>
    <w:p w:rsidR="007817EE" w:rsidRPr="007817EE" w:rsidRDefault="007817EE" w:rsidP="007817EE"/>
    <w:p w:rsidR="000653E5" w:rsidRDefault="000653E5" w:rsidP="007817EE">
      <w:r>
        <w:t xml:space="preserve">The next major case following </w:t>
      </w:r>
      <w:r w:rsidR="0078390F">
        <w:t xml:space="preserve">the </w:t>
      </w:r>
      <w:r>
        <w:t>Los Angeles</w:t>
      </w:r>
      <w:r w:rsidR="0078390F">
        <w:t xml:space="preserve"> litigation</w:t>
      </w:r>
      <w:r>
        <w:t xml:space="preserve"> was brought in New York, </w:t>
      </w:r>
      <w:r w:rsidR="00262849" w:rsidRPr="00262849">
        <w:rPr>
          <w:i/>
        </w:rPr>
        <w:t>Brooklyn Center for Independence v. Bloomberg</w:t>
      </w:r>
      <w:r w:rsidR="0078390F">
        <w:t>.</w:t>
      </w:r>
      <w:r w:rsidR="006E2BC3">
        <w:rPr>
          <w:rStyle w:val="EndnoteReference"/>
          <w:bCs/>
          <w:iCs/>
        </w:rPr>
        <w:endnoteReference w:id="18"/>
      </w:r>
      <w:r w:rsidR="0078390F">
        <w:t xml:space="preserve"> </w:t>
      </w:r>
      <w:r w:rsidR="00BB3604">
        <w:t xml:space="preserve"> The named plaintiffs in this class action were two disability rights advocacy organizations and a woman with a mobility disability. Similar to the Oakland and Los Angeles cases, legal claims were brought under Title II of the ADA, Section 504 of the Rehabilitation Act and </w:t>
      </w:r>
      <w:r w:rsidR="00677E6C">
        <w:t xml:space="preserve">New York </w:t>
      </w:r>
      <w:r w:rsidR="00BB3604">
        <w:t>state law.</w:t>
      </w:r>
    </w:p>
    <w:p w:rsidR="00BB3604" w:rsidRDefault="009D0A68" w:rsidP="007817EE">
      <w:r>
        <w:t xml:space="preserve">The suit laid out New York’s history of multiple </w:t>
      </w:r>
      <w:r w:rsidR="00AA5CC9">
        <w:t>emergencies</w:t>
      </w:r>
      <w:r>
        <w:t xml:space="preserve"> including terrorist attacks, hurricanes, fires and winter storms. </w:t>
      </w:r>
      <w:r w:rsidR="00BB3604" w:rsidRPr="00B51F61">
        <w:t xml:space="preserve">The suit alleged that </w:t>
      </w:r>
      <w:r w:rsidR="00B51F61">
        <w:t>although New York</w:t>
      </w:r>
      <w:r w:rsidR="008E37AB">
        <w:t xml:space="preserve"> had</w:t>
      </w:r>
      <w:r w:rsidR="00B51F61" w:rsidRPr="00B51F61">
        <w:t xml:space="preserve"> created </w:t>
      </w:r>
      <w:r w:rsidR="001F26ED">
        <w:t xml:space="preserve">impressive </w:t>
      </w:r>
      <w:r w:rsidR="00B51F61" w:rsidRPr="00B51F61">
        <w:t>plans for the general population</w:t>
      </w:r>
      <w:r>
        <w:t xml:space="preserve"> to deal with these emergencies</w:t>
      </w:r>
      <w:r w:rsidR="00B51F61" w:rsidRPr="00B51F61">
        <w:t xml:space="preserve">, </w:t>
      </w:r>
      <w:r w:rsidR="00B51F61">
        <w:t xml:space="preserve">it had </w:t>
      </w:r>
      <w:r w:rsidR="00B51F61" w:rsidRPr="00B51F61">
        <w:t xml:space="preserve">failed to plan appropriately for the nearly 900,000 </w:t>
      </w:r>
      <w:r w:rsidR="00B51F61">
        <w:t>people with disabilities</w:t>
      </w:r>
      <w:r>
        <w:t xml:space="preserve"> </w:t>
      </w:r>
      <w:r w:rsidR="00B51F61" w:rsidRPr="00B51F61">
        <w:t>within New York City</w:t>
      </w:r>
      <w:r w:rsidR="008E37AB">
        <w:t>,</w:t>
      </w:r>
      <w:r w:rsidR="00B51F61" w:rsidRPr="00B51F61">
        <w:t xml:space="preserve"> who are especially vulnerable during disasters.</w:t>
      </w:r>
    </w:p>
    <w:p w:rsidR="005035FE" w:rsidRDefault="005035FE" w:rsidP="007817EE">
      <w:r>
        <w:t>Unlike the Oakland and Los Angeles cases, the New York case went to trial</w:t>
      </w:r>
      <w:r w:rsidR="00B23D00">
        <w:t xml:space="preserve">, where a judge found in favor of the plaintiffs and </w:t>
      </w:r>
      <w:r w:rsidR="00407173">
        <w:t>held</w:t>
      </w:r>
      <w:r w:rsidR="00B23D00">
        <w:t xml:space="preserve"> that the City </w:t>
      </w:r>
      <w:r w:rsidR="00C53175">
        <w:t xml:space="preserve">had </w:t>
      </w:r>
      <w:r w:rsidR="00B23D00">
        <w:t>violated the ADA</w:t>
      </w:r>
      <w:r w:rsidR="00D54877">
        <w:t>, Section 504 the Rehabilitation Act and state law</w:t>
      </w:r>
      <w:r w:rsidR="00B23D00">
        <w:t>.</w:t>
      </w:r>
      <w:r w:rsidR="00FE2052">
        <w:rPr>
          <w:rStyle w:val="EndnoteReference"/>
        </w:rPr>
        <w:endnoteReference w:id="19"/>
      </w:r>
      <w:r w:rsidR="00D024A3">
        <w:t xml:space="preserve">  </w:t>
      </w:r>
      <w:r w:rsidR="00361C9D">
        <w:t xml:space="preserve">The court found that </w:t>
      </w:r>
      <w:r w:rsidR="00DA22DF">
        <w:t>the City’s emergency preparedness program</w:t>
      </w:r>
      <w:r w:rsidR="00A364ED">
        <w:t xml:space="preserve"> failed to</w:t>
      </w:r>
      <w:r w:rsidR="00DA22DF">
        <w:t>:</w:t>
      </w:r>
    </w:p>
    <w:p w:rsidR="007817EE" w:rsidRDefault="007817EE" w:rsidP="007817EE"/>
    <w:p w:rsidR="007817EE" w:rsidRDefault="007817EE" w:rsidP="007817EE">
      <w:pPr>
        <w:pStyle w:val="ListParagraph"/>
        <w:numPr>
          <w:ilvl w:val="0"/>
          <w:numId w:val="5"/>
        </w:numPr>
      </w:pPr>
      <w:r>
        <w:br w:type="page"/>
      </w:r>
    </w:p>
    <w:p w:rsidR="00D024A3" w:rsidRDefault="00D024A3" w:rsidP="007817EE">
      <w:pPr>
        <w:pStyle w:val="ListParagraph"/>
        <w:numPr>
          <w:ilvl w:val="0"/>
          <w:numId w:val="5"/>
        </w:numPr>
      </w:pPr>
      <w:r>
        <w:lastRenderedPageBreak/>
        <w:t xml:space="preserve">sufficiently accommodate </w:t>
      </w:r>
      <w:r w:rsidR="00A364ED">
        <w:t>people with disabilities</w:t>
      </w:r>
      <w:r>
        <w:t xml:space="preserve"> in evacuating buildings;</w:t>
      </w:r>
      <w:r w:rsidR="00A148A8">
        <w:rPr>
          <w:rStyle w:val="EndnoteReference"/>
        </w:rPr>
        <w:endnoteReference w:id="20"/>
      </w:r>
    </w:p>
    <w:p w:rsidR="00D024A3" w:rsidRDefault="00A364ED" w:rsidP="007817EE">
      <w:pPr>
        <w:pStyle w:val="ListParagraph"/>
        <w:numPr>
          <w:ilvl w:val="0"/>
          <w:numId w:val="5"/>
        </w:numPr>
      </w:pPr>
      <w:r>
        <w:t>provide</w:t>
      </w:r>
      <w:r w:rsidR="00DA22DF">
        <w:t xml:space="preserve"> </w:t>
      </w:r>
      <w:r>
        <w:t>people with disabilities with</w:t>
      </w:r>
      <w:r w:rsidR="00DA22DF">
        <w:t xml:space="preserve"> meaningful access to the City’s emergency shelter system;</w:t>
      </w:r>
      <w:r w:rsidR="00A148A8">
        <w:rPr>
          <w:rStyle w:val="EndnoteReference"/>
        </w:rPr>
        <w:endnoteReference w:id="21"/>
      </w:r>
      <w:r w:rsidR="00DA22DF">
        <w:t xml:space="preserve"> </w:t>
      </w:r>
    </w:p>
    <w:p w:rsidR="00DA22DF" w:rsidRDefault="00361C9D" w:rsidP="007817EE">
      <w:pPr>
        <w:pStyle w:val="ListParagraph"/>
        <w:numPr>
          <w:ilvl w:val="0"/>
          <w:numId w:val="5"/>
        </w:numPr>
      </w:pPr>
      <w:r>
        <w:t>account for people with disabilities during power outages;</w:t>
      </w:r>
      <w:r w:rsidR="00B11ED1">
        <w:rPr>
          <w:rStyle w:val="EndnoteReference"/>
        </w:rPr>
        <w:endnoteReference w:id="22"/>
      </w:r>
    </w:p>
    <w:p w:rsidR="00CD5C13" w:rsidRDefault="00CD5C13" w:rsidP="007817EE">
      <w:pPr>
        <w:pStyle w:val="ListParagraph"/>
        <w:numPr>
          <w:ilvl w:val="0"/>
          <w:numId w:val="5"/>
        </w:numPr>
      </w:pPr>
      <w:r>
        <w:t xml:space="preserve">provide </w:t>
      </w:r>
      <w:r w:rsidR="00F2287F">
        <w:t xml:space="preserve"> </w:t>
      </w:r>
      <w:r>
        <w:t>outreach and personal emergency planning for people with disabilities;</w:t>
      </w:r>
      <w:r w:rsidR="00A92CED">
        <w:rPr>
          <w:rStyle w:val="EndnoteReference"/>
        </w:rPr>
        <w:endnoteReference w:id="23"/>
      </w:r>
      <w:r>
        <w:t xml:space="preserve"> </w:t>
      </w:r>
    </w:p>
    <w:p w:rsidR="00361C9D" w:rsidRDefault="00123DD6" w:rsidP="007817EE">
      <w:pPr>
        <w:pStyle w:val="ListParagraph"/>
        <w:numPr>
          <w:ilvl w:val="0"/>
          <w:numId w:val="5"/>
        </w:numPr>
      </w:pPr>
      <w:r>
        <w:t>adequately</w:t>
      </w:r>
      <w:r w:rsidR="00CD5C13">
        <w:t xml:space="preserve"> communicate with people with disabilities</w:t>
      </w:r>
      <w:r w:rsidR="00167B68">
        <w:t>;</w:t>
      </w:r>
      <w:r w:rsidR="00652ED7">
        <w:rPr>
          <w:rStyle w:val="EndnoteReference"/>
        </w:rPr>
        <w:endnoteReference w:id="24"/>
      </w:r>
      <w:r w:rsidR="00167B68">
        <w:t xml:space="preserve"> and</w:t>
      </w:r>
    </w:p>
    <w:p w:rsidR="00167B68" w:rsidRPr="00BB3A4D" w:rsidRDefault="00167B68" w:rsidP="007817EE">
      <w:pPr>
        <w:pStyle w:val="ListParagraph"/>
        <w:numPr>
          <w:ilvl w:val="0"/>
          <w:numId w:val="5"/>
        </w:numPr>
      </w:pPr>
      <w:r w:rsidRPr="00BB3A4D">
        <w:t>develop a meaningful plan to ensure sufficient accessible transportation to evacuate people with disabilities during an emergency</w:t>
      </w:r>
      <w:r w:rsidR="00BB3A4D">
        <w:rPr>
          <w:rStyle w:val="EndnoteReference"/>
        </w:rPr>
        <w:endnoteReference w:id="25"/>
      </w:r>
    </w:p>
    <w:p w:rsidR="007817EE" w:rsidRDefault="007817EE" w:rsidP="007817EE"/>
    <w:p w:rsidR="00422595" w:rsidRDefault="00C5079E" w:rsidP="007817EE">
      <w:r>
        <w:t xml:space="preserve">The court emphasized that </w:t>
      </w:r>
      <w:r w:rsidR="00F2287F">
        <w:t xml:space="preserve">the </w:t>
      </w:r>
      <w:r>
        <w:t xml:space="preserve">systems the City had in place to ensure that the voices of people with disabilities were heard </w:t>
      </w:r>
      <w:r w:rsidR="00FB6274">
        <w:t>had been</w:t>
      </w:r>
      <w:r>
        <w:t xml:space="preserve"> insufficient.  </w:t>
      </w:r>
      <w:r w:rsidR="0094619F">
        <w:t>T</w:t>
      </w:r>
      <w:r w:rsidR="006F644E">
        <w:t xml:space="preserve">he City </w:t>
      </w:r>
      <w:r w:rsidR="001F26ED">
        <w:t>argued</w:t>
      </w:r>
      <w:r w:rsidR="00C07EF5">
        <w:t xml:space="preserve"> that it </w:t>
      </w:r>
      <w:r w:rsidR="006F644E">
        <w:t>had a Special Needs Coordinator within the Office of Emergency Management</w:t>
      </w:r>
      <w:r w:rsidR="0094619F">
        <w:t xml:space="preserve"> </w:t>
      </w:r>
      <w:r w:rsidR="00021FEA">
        <w:t xml:space="preserve">(“OEM”) </w:t>
      </w:r>
      <w:r w:rsidR="00C07EF5">
        <w:t>whose role wa</w:t>
      </w:r>
      <w:r w:rsidR="0094619F" w:rsidRPr="0094619F">
        <w:t>s to provide guidance on incorporating the needs of people with disabilities into the City's emergency plans</w:t>
      </w:r>
      <w:r w:rsidR="0094619F">
        <w:t>.</w:t>
      </w:r>
      <w:r w:rsidR="00021FEA">
        <w:t xml:space="preserve"> However, the court found that the </w:t>
      </w:r>
      <w:r w:rsidR="001F26ED">
        <w:t>Special Needs Coordinator posit</w:t>
      </w:r>
      <w:r w:rsidR="00021FEA">
        <w:t>ion was on the lowest rung of OEM’s organizational chart and had no involvement in the development of the City’s emergency plan, including its sheltering and evacuation plans.</w:t>
      </w:r>
      <w:r w:rsidR="00EF33AF">
        <w:rPr>
          <w:rStyle w:val="EndnoteReference"/>
        </w:rPr>
        <w:endnoteReference w:id="26"/>
      </w:r>
      <w:r w:rsidR="00021FEA">
        <w:t xml:space="preserve"> </w:t>
      </w:r>
      <w:r w:rsidR="00E91E2D">
        <w:t xml:space="preserve"> </w:t>
      </w:r>
    </w:p>
    <w:p w:rsidR="007817EE" w:rsidRDefault="007817EE" w:rsidP="007817EE"/>
    <w:p w:rsidR="00EF33AF" w:rsidRDefault="00EF33AF" w:rsidP="007817EE">
      <w:r>
        <w:t xml:space="preserve">Similarly, the </w:t>
      </w:r>
      <w:r w:rsidR="00A41F84">
        <w:t xml:space="preserve">City </w:t>
      </w:r>
      <w:r w:rsidR="00C07EF5">
        <w:t xml:space="preserve">touted that it </w:t>
      </w:r>
      <w:r w:rsidR="00A41F84">
        <w:t>had a Special Needs Advisory Committee</w:t>
      </w:r>
      <w:r w:rsidR="00E00271">
        <w:t xml:space="preserve"> that wa</w:t>
      </w:r>
      <w:r w:rsidR="00D52E15">
        <w:t>s supposed to discuss emergency planning and provide input and suggestions to the City</w:t>
      </w:r>
      <w:r w:rsidR="00E43BD7">
        <w:t>.  However, the</w:t>
      </w:r>
      <w:r w:rsidR="001F26ED">
        <w:t xml:space="preserve"> c</w:t>
      </w:r>
      <w:r w:rsidR="00E91E2D">
        <w:t>ourt found that the</w:t>
      </w:r>
      <w:r w:rsidR="00C07EF5">
        <w:t xml:space="preserve"> Committee was inadequate to address the needs of people with disabilities since its </w:t>
      </w:r>
      <w:r w:rsidR="00C139FA">
        <w:t xml:space="preserve">role </w:t>
      </w:r>
      <w:r w:rsidR="00E91E2D">
        <w:t>was</w:t>
      </w:r>
      <w:r w:rsidR="00C139FA">
        <w:t xml:space="preserve"> only advisory, </w:t>
      </w:r>
      <w:r w:rsidR="00FB6274">
        <w:t xml:space="preserve">it </w:t>
      </w:r>
      <w:r w:rsidR="00E43BD7" w:rsidRPr="00E43BD7">
        <w:t>ha</w:t>
      </w:r>
      <w:r w:rsidR="00E91E2D">
        <w:t>d</w:t>
      </w:r>
      <w:r w:rsidR="00E43BD7" w:rsidRPr="00E43BD7">
        <w:t xml:space="preserve"> no decision</w:t>
      </w:r>
      <w:r w:rsidR="00E43BD7">
        <w:t xml:space="preserve"> </w:t>
      </w:r>
      <w:r w:rsidR="00E43BD7" w:rsidRPr="00E43BD7">
        <w:t>making authority</w:t>
      </w:r>
      <w:r w:rsidR="00C139FA">
        <w:t xml:space="preserve">, </w:t>
      </w:r>
      <w:r w:rsidR="00E43BD7" w:rsidRPr="00E43BD7">
        <w:t xml:space="preserve">and </w:t>
      </w:r>
      <w:r w:rsidR="00FB6274">
        <w:t xml:space="preserve">it </w:t>
      </w:r>
      <w:r w:rsidR="00E43BD7" w:rsidRPr="00E43BD7">
        <w:t>ha</w:t>
      </w:r>
      <w:r w:rsidR="00E91E2D">
        <w:t>d</w:t>
      </w:r>
      <w:r w:rsidR="00E43BD7" w:rsidRPr="00E43BD7">
        <w:t xml:space="preserve"> not even seen any of the City's emergency plans in their entirety</w:t>
      </w:r>
      <w:r w:rsidR="00C139FA">
        <w:t>.</w:t>
      </w:r>
      <w:r w:rsidR="00E00271">
        <w:rPr>
          <w:rStyle w:val="EndnoteReference"/>
        </w:rPr>
        <w:endnoteReference w:id="27"/>
      </w:r>
      <w:r w:rsidR="00C139FA">
        <w:t xml:space="preserve">  </w:t>
      </w:r>
    </w:p>
    <w:p w:rsidR="007817EE" w:rsidRDefault="007817EE" w:rsidP="007817EE"/>
    <w:p w:rsidR="00E00271" w:rsidRDefault="00E00271" w:rsidP="007817EE">
      <w:r>
        <w:t xml:space="preserve">Finally, the </w:t>
      </w:r>
      <w:r w:rsidR="007C76D0">
        <w:t>court found it problematic that no one at the New York Police Department or Fire Department was designated to focus on the needs of people with disabilities.</w:t>
      </w:r>
      <w:r w:rsidR="009D7D54">
        <w:rPr>
          <w:rStyle w:val="EndnoteReference"/>
        </w:rPr>
        <w:endnoteReference w:id="28"/>
      </w:r>
      <w:r w:rsidR="00EB65C9">
        <w:t xml:space="preserve"> </w:t>
      </w:r>
      <w:r w:rsidR="007C76D0">
        <w:t xml:space="preserve">The testimony by New York Fire Department </w:t>
      </w:r>
      <w:r w:rsidR="000713D3">
        <w:t xml:space="preserve">personnel made clear that </w:t>
      </w:r>
      <w:r w:rsidR="00534092">
        <w:t xml:space="preserve">they believed </w:t>
      </w:r>
      <w:r w:rsidR="007C76D0">
        <w:t>there was “no need to plan specifically for the evacuation of people with disabilities</w:t>
      </w:r>
      <w:r w:rsidR="000713D3">
        <w:t>” as they treat</w:t>
      </w:r>
      <w:r w:rsidR="007C76D0">
        <w:t xml:space="preserve"> everyone the same by conducting an on</w:t>
      </w:r>
      <w:r w:rsidR="00123DD6">
        <w:t xml:space="preserve"> the</w:t>
      </w:r>
      <w:r w:rsidR="007C76D0">
        <w:t xml:space="preserve"> scene </w:t>
      </w:r>
      <w:r w:rsidR="00EB65C9">
        <w:t>case-by-</w:t>
      </w:r>
      <w:r w:rsidR="000713D3">
        <w:t xml:space="preserve">case </w:t>
      </w:r>
      <w:r w:rsidR="007C76D0">
        <w:t>assessment of individual needs</w:t>
      </w:r>
      <w:r w:rsidR="000713D3">
        <w:t xml:space="preserve"> and that n</w:t>
      </w:r>
      <w:r w:rsidR="007C76D0">
        <w:t>o pre-planning is done or needed.</w:t>
      </w:r>
      <w:r w:rsidR="000713D3">
        <w:rPr>
          <w:rStyle w:val="EndnoteReference"/>
        </w:rPr>
        <w:endnoteReference w:id="29"/>
      </w:r>
    </w:p>
    <w:p w:rsidR="007817EE" w:rsidRPr="00E43BD7" w:rsidRDefault="007817EE" w:rsidP="007817EE">
      <w:pPr>
        <w:rPr>
          <w:i/>
        </w:rPr>
      </w:pPr>
    </w:p>
    <w:p w:rsidR="00895FAC" w:rsidRDefault="00F9599D" w:rsidP="007817EE">
      <w:r>
        <w:t>As result of its findings, th</w:t>
      </w:r>
      <w:r w:rsidR="00CB7407">
        <w:t xml:space="preserve">e court ordered the plaintiffs and </w:t>
      </w:r>
      <w:r>
        <w:t>the City</w:t>
      </w:r>
      <w:r w:rsidR="00CB7407">
        <w:t xml:space="preserve">, along with </w:t>
      </w:r>
      <w:r>
        <w:t>the Department of Justice (which had submitted a Statement of Interest</w:t>
      </w:r>
      <w:r>
        <w:rPr>
          <w:rStyle w:val="EndnoteReference"/>
        </w:rPr>
        <w:endnoteReference w:id="30"/>
      </w:r>
      <w:r>
        <w:t xml:space="preserve"> similar to the one in the Los Angeles case)</w:t>
      </w:r>
      <w:r w:rsidR="00CB7407">
        <w:t xml:space="preserve"> to develop a plan to remedy the legal violations. </w:t>
      </w:r>
      <w:r w:rsidR="00AC3175">
        <w:t>Ultimately, a Settlement Agreement was reached and approved by the court in 2015.</w:t>
      </w:r>
      <w:r w:rsidR="00AC3175">
        <w:rPr>
          <w:rStyle w:val="EndnoteReference"/>
        </w:rPr>
        <w:endnoteReference w:id="31"/>
      </w:r>
      <w:r w:rsidR="002841A2">
        <w:t xml:space="preserve">  Key components of the Settlement Agreement </w:t>
      </w:r>
      <w:r w:rsidR="00C33B3A">
        <w:t>require the City to:</w:t>
      </w:r>
    </w:p>
    <w:p w:rsidR="007817EE" w:rsidRDefault="007817EE" w:rsidP="007817EE"/>
    <w:p w:rsidR="007817EE" w:rsidRDefault="007817EE" w:rsidP="007817EE">
      <w:pPr>
        <w:pStyle w:val="ListParagraph"/>
        <w:numPr>
          <w:ilvl w:val="0"/>
          <w:numId w:val="6"/>
        </w:numPr>
      </w:pPr>
      <w:r>
        <w:br w:type="page"/>
      </w:r>
    </w:p>
    <w:p w:rsidR="00C33B3A" w:rsidRPr="00C33B3A" w:rsidRDefault="00487306" w:rsidP="007817EE">
      <w:pPr>
        <w:pStyle w:val="ListParagraph"/>
        <w:numPr>
          <w:ilvl w:val="0"/>
          <w:numId w:val="6"/>
        </w:numPr>
      </w:pPr>
      <w:r>
        <w:lastRenderedPageBreak/>
        <w:t>h</w:t>
      </w:r>
      <w:r w:rsidR="00C33B3A" w:rsidRPr="00C33B3A">
        <w:t xml:space="preserve">ire </w:t>
      </w:r>
      <w:r w:rsidR="00C33B3A">
        <w:t xml:space="preserve">a </w:t>
      </w:r>
      <w:r w:rsidR="00C53175">
        <w:t xml:space="preserve">Disability </w:t>
      </w:r>
      <w:r w:rsidR="00C33B3A" w:rsidRPr="00C33B3A">
        <w:t>Access and Functional Needs Coordinator</w:t>
      </w:r>
      <w:r w:rsidR="00EB65C9">
        <w:t xml:space="preserve"> </w:t>
      </w:r>
      <w:r w:rsidR="00C53175">
        <w:t>who</w:t>
      </w:r>
      <w:r w:rsidR="00EB65C9">
        <w:t xml:space="preserve"> would have more authority and prominence that the previous Special Needs Coordinator</w:t>
      </w:r>
      <w:r w:rsidR="00C33B3A">
        <w:t>;</w:t>
      </w:r>
    </w:p>
    <w:p w:rsidR="00C33B3A" w:rsidRPr="00C33B3A" w:rsidRDefault="00487306" w:rsidP="007817EE">
      <w:pPr>
        <w:pStyle w:val="ListParagraph"/>
        <w:numPr>
          <w:ilvl w:val="0"/>
          <w:numId w:val="6"/>
        </w:numPr>
      </w:pPr>
      <w:r>
        <w:t>e</w:t>
      </w:r>
      <w:r w:rsidR="00C33B3A" w:rsidRPr="00C33B3A">
        <w:t xml:space="preserve">stablish </w:t>
      </w:r>
      <w:r w:rsidR="00C33B3A">
        <w:t xml:space="preserve">a </w:t>
      </w:r>
      <w:r w:rsidR="00C33B3A" w:rsidRPr="00C33B3A">
        <w:t>Disability Community Advisory Panel</w:t>
      </w:r>
      <w:r w:rsidR="00EB65C9">
        <w:t xml:space="preserve"> to provide feedback on a regular basis regarding the City’s emergency plans and proposed revisions that would have more active involvement than the previous Special Needs Advisory Committee</w:t>
      </w:r>
      <w:r w:rsidR="00C33B3A">
        <w:t>;</w:t>
      </w:r>
      <w:r w:rsidR="00C33B3A" w:rsidRPr="00C33B3A">
        <w:t xml:space="preserve"> </w:t>
      </w:r>
    </w:p>
    <w:p w:rsidR="00C33B3A" w:rsidRPr="00C33B3A" w:rsidRDefault="00487306" w:rsidP="007817EE">
      <w:pPr>
        <w:pStyle w:val="ListParagraph"/>
        <w:numPr>
          <w:ilvl w:val="0"/>
          <w:numId w:val="6"/>
        </w:numPr>
      </w:pPr>
      <w:r>
        <w:t>e</w:t>
      </w:r>
      <w:r w:rsidR="00C33B3A" w:rsidRPr="00C33B3A">
        <w:t>nsure at least 60 shelters are physically and programmatically accessible</w:t>
      </w:r>
      <w:r w:rsidR="00C33B3A">
        <w:t>;</w:t>
      </w:r>
    </w:p>
    <w:p w:rsidR="00C33B3A" w:rsidRPr="00C33B3A" w:rsidRDefault="00487306" w:rsidP="007817EE">
      <w:pPr>
        <w:pStyle w:val="ListParagraph"/>
        <w:numPr>
          <w:ilvl w:val="0"/>
          <w:numId w:val="6"/>
        </w:numPr>
      </w:pPr>
      <w:r>
        <w:t>c</w:t>
      </w:r>
      <w:r w:rsidR="00C33B3A" w:rsidRPr="00C33B3A">
        <w:t xml:space="preserve">reate </w:t>
      </w:r>
      <w:r w:rsidR="00781761">
        <w:t xml:space="preserve">a </w:t>
      </w:r>
      <w:r w:rsidR="00C33B3A" w:rsidRPr="00C33B3A">
        <w:t>Post-Emergency Canvassing Operation</w:t>
      </w:r>
      <w:r w:rsidR="00EB65C9">
        <w:t xml:space="preserve"> to survey households </w:t>
      </w:r>
      <w:r w:rsidR="00EB65C9" w:rsidRPr="007817EE">
        <w:rPr>
          <w:i/>
        </w:rPr>
        <w:t>after</w:t>
      </w:r>
      <w:r w:rsidR="00EB65C9">
        <w:t xml:space="preserve"> a disaster to identify and assess the needs of people with disabilities by going door-to-door and respond</w:t>
      </w:r>
      <w:r w:rsidR="00FB6274">
        <w:t>ing</w:t>
      </w:r>
      <w:r w:rsidR="00EB65C9">
        <w:t xml:space="preserve"> to resource requests, including food, water, electricity, medical care and equipment</w:t>
      </w:r>
      <w:r w:rsidR="00781761">
        <w:t>;</w:t>
      </w:r>
      <w:r w:rsidR="00C33B3A" w:rsidRPr="00C33B3A">
        <w:t xml:space="preserve"> </w:t>
      </w:r>
    </w:p>
    <w:p w:rsidR="00C33B3A" w:rsidRPr="00C33B3A" w:rsidRDefault="00487306" w:rsidP="007817EE">
      <w:pPr>
        <w:pStyle w:val="ListParagraph"/>
        <w:numPr>
          <w:ilvl w:val="0"/>
          <w:numId w:val="6"/>
        </w:numPr>
      </w:pPr>
      <w:r>
        <w:t>d</w:t>
      </w:r>
      <w:r w:rsidR="00C33B3A" w:rsidRPr="00C33B3A">
        <w:t xml:space="preserve">evelop </w:t>
      </w:r>
      <w:r w:rsidR="00C33B3A" w:rsidRPr="007817EE">
        <w:rPr>
          <w:bCs/>
        </w:rPr>
        <w:t xml:space="preserve">accessible transportation plans </w:t>
      </w:r>
      <w:r w:rsidR="00FB6274" w:rsidRPr="007817EE">
        <w:rPr>
          <w:bCs/>
        </w:rPr>
        <w:t xml:space="preserve">for use </w:t>
      </w:r>
      <w:r w:rsidR="00C33B3A" w:rsidRPr="00C33B3A">
        <w:t>during emergencies</w:t>
      </w:r>
      <w:r w:rsidR="00EB65C9">
        <w:t xml:space="preserve"> that would ensure coordination by the Metropolitan Transit Authority, the Taxi and Limousine Commission and the New York Housing Authority; and </w:t>
      </w:r>
    </w:p>
    <w:p w:rsidR="00C33B3A" w:rsidRPr="00C33B3A" w:rsidRDefault="00487306" w:rsidP="007817EE">
      <w:pPr>
        <w:pStyle w:val="ListParagraph"/>
        <w:numPr>
          <w:ilvl w:val="0"/>
          <w:numId w:val="6"/>
        </w:numPr>
      </w:pPr>
      <w:r>
        <w:t>c</w:t>
      </w:r>
      <w:r w:rsidR="00C33B3A" w:rsidRPr="00C33B3A">
        <w:t xml:space="preserve">onvene </w:t>
      </w:r>
      <w:r>
        <w:t>an A</w:t>
      </w:r>
      <w:r w:rsidR="00C33B3A" w:rsidRPr="00C33B3A">
        <w:t>DA High Rise Building Evacuation Task Force</w:t>
      </w:r>
      <w:r w:rsidR="00EB65C9">
        <w:t xml:space="preserve"> to create a comprehensive evacuation work plan</w:t>
      </w:r>
      <w:r w:rsidR="00F2287F">
        <w:t>.</w:t>
      </w:r>
      <w:r w:rsidR="00C33B3A" w:rsidRPr="00C33B3A">
        <w:t xml:space="preserve"> </w:t>
      </w:r>
    </w:p>
    <w:p w:rsidR="00C33B3A" w:rsidRPr="00C33B3A" w:rsidRDefault="00C33B3A" w:rsidP="007817EE"/>
    <w:p w:rsidR="00F31C6C" w:rsidRPr="00F31C6C" w:rsidRDefault="00851B0E" w:rsidP="007817EE">
      <w:pPr>
        <w:pStyle w:val="Heading3"/>
      </w:pPr>
      <w:r>
        <w:t xml:space="preserve">D. </w:t>
      </w:r>
      <w:r w:rsidR="00F31C6C" w:rsidRPr="00F31C6C">
        <w:t>United Spinal Association v. District of Columbia</w:t>
      </w:r>
      <w:r w:rsidR="0051072B">
        <w:t xml:space="preserve"> (2014)</w:t>
      </w:r>
    </w:p>
    <w:p w:rsidR="00F31C6C" w:rsidRDefault="00F31C6C" w:rsidP="007817EE">
      <w:pPr>
        <w:pStyle w:val="ListParagraph"/>
      </w:pPr>
    </w:p>
    <w:p w:rsidR="000B5AFA" w:rsidRDefault="000B5AFA" w:rsidP="007817EE">
      <w:pPr>
        <w:rPr>
          <w:bCs/>
          <w:iCs/>
        </w:rPr>
      </w:pPr>
      <w:r>
        <w:t xml:space="preserve">The most recent ADA case filed against a municipality for failing to adequately address the needs of people with disabilities in emergency planning is </w:t>
      </w:r>
      <w:r w:rsidRPr="00126EF3">
        <w:rPr>
          <w:bCs/>
          <w:i/>
          <w:iCs/>
        </w:rPr>
        <w:t>United Spinal Association v. District of Columbia</w:t>
      </w:r>
      <w:r w:rsidR="00126EF3">
        <w:rPr>
          <w:bCs/>
          <w:i/>
          <w:iCs/>
        </w:rPr>
        <w:t>.</w:t>
      </w:r>
      <w:r w:rsidR="00126EF3">
        <w:rPr>
          <w:rStyle w:val="EndnoteReference"/>
          <w:bCs/>
          <w:i/>
          <w:iCs/>
        </w:rPr>
        <w:endnoteReference w:id="32"/>
      </w:r>
      <w:r w:rsidR="00557FCC">
        <w:rPr>
          <w:bCs/>
          <w:iCs/>
        </w:rPr>
        <w:t xml:space="preserve"> The named plaintiffs in this class action are two disability rights advocacy organizations, a woman who is blind, a woman who is hard of hearing</w:t>
      </w:r>
      <w:r w:rsidR="00302A2F">
        <w:rPr>
          <w:bCs/>
          <w:iCs/>
        </w:rPr>
        <w:t>,</w:t>
      </w:r>
      <w:r w:rsidR="00557FCC">
        <w:rPr>
          <w:bCs/>
          <w:iCs/>
        </w:rPr>
        <w:t xml:space="preserve"> and a woman with a mobility disability</w:t>
      </w:r>
      <w:r w:rsidR="00834BC5">
        <w:rPr>
          <w:bCs/>
          <w:iCs/>
        </w:rPr>
        <w:t>.</w:t>
      </w:r>
      <w:r w:rsidR="0022425E">
        <w:rPr>
          <w:bCs/>
          <w:iCs/>
        </w:rPr>
        <w:t xml:space="preserve">  Suit was brought under the ADA, Section 504 of the Rehabilitation Act and the D.C. Human Rights Act.</w:t>
      </w:r>
    </w:p>
    <w:p w:rsidR="007817EE" w:rsidRDefault="007817EE" w:rsidP="007817EE">
      <w:pPr>
        <w:rPr>
          <w:bCs/>
          <w:iCs/>
        </w:rPr>
      </w:pPr>
    </w:p>
    <w:p w:rsidR="00124407" w:rsidRDefault="00124407" w:rsidP="007817EE">
      <w:r>
        <w:t>Li</w:t>
      </w:r>
      <w:r w:rsidR="0051072B">
        <w:t>ke the New York City case, the c</w:t>
      </w:r>
      <w:r>
        <w:t xml:space="preserve">omplaint alleges that D.C. </w:t>
      </w:r>
      <w:r w:rsidR="00834BC5">
        <w:t>has engaged in extensive emergency planning, but the ne</w:t>
      </w:r>
      <w:r w:rsidR="0022425E">
        <w:t>eds of people with disabilities have not been adequately</w:t>
      </w:r>
      <w:r w:rsidR="0051072B">
        <w:t xml:space="preserve"> addressed.  Specifically, the c</w:t>
      </w:r>
      <w:r w:rsidR="0022425E">
        <w:t xml:space="preserve">omplaint alleges that D.C. has failed to: </w:t>
      </w:r>
    </w:p>
    <w:p w:rsidR="007817EE" w:rsidRDefault="007817EE" w:rsidP="007817EE"/>
    <w:p w:rsidR="00124407" w:rsidRPr="00124407" w:rsidRDefault="00124407" w:rsidP="007817EE">
      <w:pPr>
        <w:pStyle w:val="ListParagraph"/>
        <w:numPr>
          <w:ilvl w:val="0"/>
          <w:numId w:val="10"/>
        </w:numPr>
        <w:rPr>
          <w:bCs/>
          <w:iCs/>
        </w:rPr>
      </w:pPr>
      <w:r>
        <w:t>p</w:t>
      </w:r>
      <w:r w:rsidRPr="00124407">
        <w:t>ublicize info</w:t>
      </w:r>
      <w:r w:rsidR="00FB6274">
        <w:t>rmation</w:t>
      </w:r>
      <w:r w:rsidRPr="00124407">
        <w:t xml:space="preserve"> about accessible emergency shelters</w:t>
      </w:r>
      <w:r>
        <w:t>;</w:t>
      </w:r>
    </w:p>
    <w:p w:rsidR="00124407" w:rsidRPr="00124407" w:rsidRDefault="00124407" w:rsidP="007817EE">
      <w:pPr>
        <w:pStyle w:val="ListParagraph"/>
        <w:numPr>
          <w:ilvl w:val="0"/>
          <w:numId w:val="10"/>
        </w:numPr>
        <w:rPr>
          <w:bCs/>
          <w:iCs/>
        </w:rPr>
      </w:pPr>
      <w:r>
        <w:t>p</w:t>
      </w:r>
      <w:r w:rsidRPr="00124407">
        <w:t>lan for emergency communications for people who are deaf or blin</w:t>
      </w:r>
      <w:r>
        <w:t>d;</w:t>
      </w:r>
    </w:p>
    <w:p w:rsidR="00124407" w:rsidRPr="00124407" w:rsidRDefault="00124407" w:rsidP="007817EE">
      <w:pPr>
        <w:pStyle w:val="ListParagraph"/>
        <w:numPr>
          <w:ilvl w:val="0"/>
          <w:numId w:val="10"/>
        </w:numPr>
        <w:rPr>
          <w:bCs/>
          <w:iCs/>
        </w:rPr>
      </w:pPr>
      <w:r>
        <w:t>p</w:t>
      </w:r>
      <w:r w:rsidRPr="00124407">
        <w:t>ut emergency evacuation options in place</w:t>
      </w:r>
      <w:r>
        <w:t xml:space="preserve">; and </w:t>
      </w:r>
    </w:p>
    <w:p w:rsidR="00106F83" w:rsidRPr="007817EE" w:rsidRDefault="00124407" w:rsidP="007817EE">
      <w:pPr>
        <w:pStyle w:val="ListParagraph"/>
        <w:numPr>
          <w:ilvl w:val="0"/>
          <w:numId w:val="10"/>
        </w:numPr>
        <w:rPr>
          <w:bCs/>
          <w:iCs/>
        </w:rPr>
      </w:pPr>
      <w:r>
        <w:t>p</w:t>
      </w:r>
      <w:r w:rsidRPr="00124407">
        <w:t>lan for supply chain disruptions for medication and replacement of durable medical equipment</w:t>
      </w:r>
      <w:r w:rsidR="005E5DCF">
        <w:rPr>
          <w:rStyle w:val="EndnoteReference"/>
        </w:rPr>
        <w:endnoteReference w:id="33"/>
      </w:r>
    </w:p>
    <w:p w:rsidR="007817EE" w:rsidRPr="00106F83" w:rsidRDefault="007817EE" w:rsidP="007817EE">
      <w:pPr>
        <w:pStyle w:val="ListParagraph"/>
        <w:numPr>
          <w:ilvl w:val="0"/>
          <w:numId w:val="10"/>
        </w:numPr>
        <w:rPr>
          <w:bCs/>
          <w:iCs/>
        </w:rPr>
      </w:pPr>
    </w:p>
    <w:p w:rsidR="00106F83" w:rsidRDefault="00106F83" w:rsidP="007817EE">
      <w:r>
        <w:t xml:space="preserve">Soon after the case was filed, the parties agreed to </w:t>
      </w:r>
      <w:r w:rsidR="003370A7">
        <w:t xml:space="preserve">mediation to </w:t>
      </w:r>
      <w:r w:rsidR="00DB215B">
        <w:t>attempt to resolve the dispute.  A</w:t>
      </w:r>
      <w:r w:rsidR="003370A7">
        <w:t>t the ti</w:t>
      </w:r>
      <w:r w:rsidR="00824E88">
        <w:t xml:space="preserve">me of the writing of this brief, </w:t>
      </w:r>
      <w:r w:rsidR="003370A7">
        <w:t>settlement negotiations</w:t>
      </w:r>
      <w:r w:rsidR="00DB215B">
        <w:t xml:space="preserve"> were ongoing.</w:t>
      </w:r>
    </w:p>
    <w:p w:rsidR="007817EE" w:rsidRDefault="007817EE" w:rsidP="007817EE"/>
    <w:p w:rsidR="007817EE" w:rsidRDefault="007817EE" w:rsidP="007817EE">
      <w:pPr>
        <w:pStyle w:val="Heading3"/>
      </w:pPr>
      <w:r>
        <w:br w:type="page"/>
      </w:r>
    </w:p>
    <w:p w:rsidR="00851B0E" w:rsidRDefault="00851B0E" w:rsidP="007817EE">
      <w:pPr>
        <w:pStyle w:val="Heading3"/>
      </w:pPr>
      <w:r>
        <w:lastRenderedPageBreak/>
        <w:t xml:space="preserve">E. </w:t>
      </w:r>
      <w:r w:rsidR="000A354C" w:rsidRPr="00575948">
        <w:t>California Foundation for Independent Living Centers v. County of Sacramento</w:t>
      </w:r>
      <w:r w:rsidR="0051072B">
        <w:t xml:space="preserve"> (2012)</w:t>
      </w:r>
    </w:p>
    <w:p w:rsidR="007817EE" w:rsidRPr="007817EE" w:rsidRDefault="007817EE" w:rsidP="007817EE"/>
    <w:p w:rsidR="007651D0" w:rsidRDefault="007651D0" w:rsidP="007817EE">
      <w:r w:rsidRPr="007651D0">
        <w:t xml:space="preserve">All of the cases discussed thus far have alleged that a governmental entity has failed to meet the needs of people with disabilities in all aspects of emergency planning.  Recently, </w:t>
      </w:r>
      <w:r w:rsidR="00C53175">
        <w:t>c</w:t>
      </w:r>
      <w:r w:rsidRPr="007651D0">
        <w:t xml:space="preserve">ases have been filed that </w:t>
      </w:r>
      <w:r w:rsidR="0047122E">
        <w:t>focus</w:t>
      </w:r>
      <w:r w:rsidRPr="007651D0">
        <w:t xml:space="preserve"> on a specific location</w:t>
      </w:r>
      <w:r w:rsidR="00C53175">
        <w:t xml:space="preserve">, </w:t>
      </w:r>
      <w:r w:rsidRPr="007651D0">
        <w:t>issue</w:t>
      </w:r>
      <w:r w:rsidR="00C53175">
        <w:t xml:space="preserve"> or incident</w:t>
      </w:r>
      <w:r w:rsidRPr="007651D0">
        <w:t>.</w:t>
      </w:r>
    </w:p>
    <w:p w:rsidR="007817EE" w:rsidRPr="007651D0" w:rsidRDefault="007817EE" w:rsidP="007817EE"/>
    <w:p w:rsidR="007651D0" w:rsidRDefault="007651D0" w:rsidP="007817EE">
      <w:r w:rsidRPr="007651D0">
        <w:t xml:space="preserve">In </w:t>
      </w:r>
      <w:r w:rsidRPr="007651D0">
        <w:rPr>
          <w:i/>
        </w:rPr>
        <w:t>California Foundation for Independent Living Centers v. County of Sacramento</w:t>
      </w:r>
      <w:r w:rsidR="001C0439">
        <w:rPr>
          <w:i/>
        </w:rPr>
        <w:t xml:space="preserve">, </w:t>
      </w:r>
      <w:r w:rsidR="001C0439">
        <w:t>the focus was on emergency preparedness at a specific location, the Sacramento International Airport.  The named plaintiffs in this</w:t>
      </w:r>
      <w:r w:rsidR="00FB6274">
        <w:t xml:space="preserve"> class action ar</w:t>
      </w:r>
      <w:r w:rsidR="001C0439">
        <w:t>e</w:t>
      </w:r>
      <w:r w:rsidR="00494417">
        <w:t xml:space="preserve"> a disability rights advocacy organization and a woman with a mobility disability. </w:t>
      </w:r>
      <w:r w:rsidR="00DE2721">
        <w:t>The suit alleges</w:t>
      </w:r>
      <w:r w:rsidR="00677E6C">
        <w:t xml:space="preserve"> </w:t>
      </w:r>
      <w:r w:rsidR="00DE2721">
        <w:t>that the County of Sacramento discriminates against people with mobility disabilities under</w:t>
      </w:r>
      <w:r w:rsidR="00677E6C">
        <w:t xml:space="preserve"> Title II of the ADA, Section 504 of the Rehabilitation Act and California state law.</w:t>
      </w:r>
      <w:r w:rsidR="00237FB4">
        <w:rPr>
          <w:rStyle w:val="EndnoteReference"/>
          <w:bCs/>
          <w:iCs/>
        </w:rPr>
        <w:endnoteReference w:id="34"/>
      </w:r>
      <w:r w:rsidR="00275CEE">
        <w:t xml:space="preserve">  </w:t>
      </w:r>
    </w:p>
    <w:p w:rsidR="007817EE" w:rsidRDefault="007817EE" w:rsidP="007817EE"/>
    <w:p w:rsidR="00552B67" w:rsidRDefault="00302A2F" w:rsidP="007817EE">
      <w:r>
        <w:t xml:space="preserve">Prior to the suit being filed, the County of Sacramento </w:t>
      </w:r>
      <w:r w:rsidR="00DE2721">
        <w:t>spent $1 billion</w:t>
      </w:r>
      <w:r w:rsidR="00510EA5">
        <w:t xml:space="preserve"> to build a new</w:t>
      </w:r>
      <w:r w:rsidR="00106039">
        <w:t xml:space="preserve"> airport </w:t>
      </w:r>
      <w:r w:rsidR="00510EA5">
        <w:t xml:space="preserve">terminal building. </w:t>
      </w:r>
      <w:r w:rsidR="00FB6274">
        <w:t>T</w:t>
      </w:r>
      <w:r w:rsidR="00510EA5">
        <w:t>he plaintif</w:t>
      </w:r>
      <w:r w:rsidR="002E727E">
        <w:t>fs allege that the terminal fails to comply with the ADA’s new construction standards</w:t>
      </w:r>
      <w:r w:rsidR="00CA3359">
        <w:t xml:space="preserve">.  In addition to numerous </w:t>
      </w:r>
      <w:r w:rsidR="00573C6F">
        <w:t>physical ADA violations, the plaintiffs also allege that the new terminal does not have adequate emergency evacuation procedures for travelers with disabilities.</w:t>
      </w:r>
    </w:p>
    <w:p w:rsidR="007817EE" w:rsidRDefault="007817EE" w:rsidP="007817EE"/>
    <w:p w:rsidR="004B6330" w:rsidRDefault="00552B67" w:rsidP="007817EE">
      <w:r>
        <w:t xml:space="preserve">The parties filed cross motions for summary judgment and the court </w:t>
      </w:r>
      <w:r w:rsidR="002A7CD0">
        <w:t>gran</w:t>
      </w:r>
      <w:r w:rsidR="00AF284F">
        <w:t>ted partial summary judgment to</w:t>
      </w:r>
      <w:r w:rsidR="002A7CD0">
        <w:t xml:space="preserve"> the </w:t>
      </w:r>
      <w:r>
        <w:t>plaintiffs</w:t>
      </w:r>
      <w:r w:rsidR="00106039">
        <w:t xml:space="preserve">.  With respect to the emergency planning issues, the court found that </w:t>
      </w:r>
      <w:r w:rsidR="002A7CD0">
        <w:t>the County</w:t>
      </w:r>
      <w:r w:rsidR="00BD5116">
        <w:t xml:space="preserve"> had</w:t>
      </w:r>
      <w:r w:rsidR="002A7CD0">
        <w:t xml:space="preserve">: </w:t>
      </w:r>
    </w:p>
    <w:p w:rsidR="007817EE" w:rsidRDefault="007817EE" w:rsidP="007817EE"/>
    <w:p w:rsidR="004B6330" w:rsidRDefault="002A7CD0" w:rsidP="007817EE">
      <w:pPr>
        <w:pStyle w:val="ListParagraph"/>
        <w:numPr>
          <w:ilvl w:val="0"/>
          <w:numId w:val="15"/>
        </w:numPr>
      </w:pPr>
      <w:r>
        <w:t>no</w:t>
      </w:r>
      <w:r w:rsidR="004B6330" w:rsidRPr="004B6330">
        <w:t xml:space="preserve"> plan for evacuating </w:t>
      </w:r>
      <w:r w:rsidR="004B6330">
        <w:t xml:space="preserve">people with disabilities </w:t>
      </w:r>
      <w:r w:rsidR="00FB6274">
        <w:t>from the People M</w:t>
      </w:r>
      <w:r w:rsidR="004B6330" w:rsidRPr="004B6330">
        <w:t xml:space="preserve">over; </w:t>
      </w:r>
    </w:p>
    <w:p w:rsidR="004B6330" w:rsidRDefault="002A7CD0" w:rsidP="007817EE">
      <w:pPr>
        <w:pStyle w:val="ListParagraph"/>
        <w:numPr>
          <w:ilvl w:val="0"/>
          <w:numId w:val="15"/>
        </w:numPr>
      </w:pPr>
      <w:r>
        <w:t>f</w:t>
      </w:r>
      <w:r w:rsidR="004B6330" w:rsidRPr="004B6330">
        <w:t xml:space="preserve">ailed to </w:t>
      </w:r>
      <w:r>
        <w:t>train personnel on needs of people with disabilities</w:t>
      </w:r>
      <w:r w:rsidR="00BD5116">
        <w:t>;</w:t>
      </w:r>
      <w:r w:rsidR="004B6330" w:rsidRPr="004B6330">
        <w:t xml:space="preserve"> </w:t>
      </w:r>
    </w:p>
    <w:p w:rsidR="00BD5116" w:rsidRDefault="00BD5116" w:rsidP="007817EE">
      <w:pPr>
        <w:pStyle w:val="ListParagraph"/>
        <w:numPr>
          <w:ilvl w:val="0"/>
          <w:numId w:val="15"/>
        </w:numPr>
      </w:pPr>
      <w:r>
        <w:t>f</w:t>
      </w:r>
      <w:r w:rsidR="004B6330" w:rsidRPr="002A7CD0">
        <w:t xml:space="preserve">ailed to reserve personnel to assist </w:t>
      </w:r>
      <w:r w:rsidR="002A7CD0">
        <w:t>people with disabilities</w:t>
      </w:r>
      <w:r>
        <w:t xml:space="preserve">; </w:t>
      </w:r>
    </w:p>
    <w:p w:rsidR="004B6330" w:rsidRPr="002A7CD0" w:rsidRDefault="00BD5116" w:rsidP="007817EE">
      <w:pPr>
        <w:pStyle w:val="ListParagraph"/>
        <w:numPr>
          <w:ilvl w:val="0"/>
          <w:numId w:val="15"/>
        </w:numPr>
      </w:pPr>
      <w:r>
        <w:t>i</w:t>
      </w:r>
      <w:r w:rsidR="004B6330" w:rsidRPr="002A7CD0">
        <w:t>nadequate communication about accessible evacuation assistance within the airport</w:t>
      </w:r>
      <w:r>
        <w:t xml:space="preserve">; and </w:t>
      </w:r>
    </w:p>
    <w:p w:rsidR="004B6330" w:rsidRDefault="00BD5116" w:rsidP="007817EE">
      <w:pPr>
        <w:pStyle w:val="ListParagraph"/>
        <w:numPr>
          <w:ilvl w:val="0"/>
          <w:numId w:val="15"/>
        </w:numPr>
      </w:pPr>
      <w:r>
        <w:t>i</w:t>
      </w:r>
      <w:r w:rsidR="004B6330" w:rsidRPr="004B6330">
        <w:t>nadequate</w:t>
      </w:r>
      <w:r>
        <w:t>ly</w:t>
      </w:r>
      <w:r w:rsidR="004B6330" w:rsidRPr="004B6330">
        <w:t xml:space="preserve"> incorporat</w:t>
      </w:r>
      <w:r>
        <w:t xml:space="preserve">ed the needs </w:t>
      </w:r>
      <w:r w:rsidR="004B6330" w:rsidRPr="004B6330">
        <w:t xml:space="preserve">of </w:t>
      </w:r>
      <w:r w:rsidR="002A7CD0">
        <w:t>people with disabilities</w:t>
      </w:r>
      <w:r w:rsidR="002A7CD0" w:rsidRPr="004B6330">
        <w:t xml:space="preserve"> </w:t>
      </w:r>
      <w:r w:rsidR="004B6330" w:rsidRPr="004B6330">
        <w:t xml:space="preserve">into </w:t>
      </w:r>
      <w:r>
        <w:t xml:space="preserve">the airport’s </w:t>
      </w:r>
      <w:r w:rsidR="004B6330" w:rsidRPr="004B6330">
        <w:t>recovery plan</w:t>
      </w:r>
      <w:r w:rsidR="003706EA">
        <w:rPr>
          <w:rStyle w:val="EndnoteReference"/>
          <w:bCs/>
          <w:iCs/>
        </w:rPr>
        <w:endnoteReference w:id="35"/>
      </w:r>
    </w:p>
    <w:p w:rsidR="007817EE" w:rsidRDefault="007817EE" w:rsidP="007817EE">
      <w:pPr>
        <w:pStyle w:val="ListParagraph"/>
        <w:numPr>
          <w:ilvl w:val="0"/>
          <w:numId w:val="15"/>
        </w:numPr>
      </w:pPr>
    </w:p>
    <w:p w:rsidR="00BA697D" w:rsidRDefault="00BA697D" w:rsidP="007817EE">
      <w:r>
        <w:t xml:space="preserve">This was the first time that the ADA had been applied to </w:t>
      </w:r>
      <w:r w:rsidR="00824E88">
        <w:t>an airport’s emergency evacuation plan.  Following the court’s ruling, the parties agreed to discuss a possible settlement.  At the time of the writing of this brief, settlement negotiations were ongoing.</w:t>
      </w:r>
    </w:p>
    <w:p w:rsidR="007817EE" w:rsidRDefault="007817EE" w:rsidP="007817EE"/>
    <w:p w:rsidR="00BF6B5C" w:rsidRDefault="00851B0E" w:rsidP="007817EE">
      <w:pPr>
        <w:pStyle w:val="Heading3"/>
      </w:pPr>
      <w:r>
        <w:t xml:space="preserve">F. </w:t>
      </w:r>
      <w:r w:rsidR="00BF6B5C" w:rsidRPr="00BF6B5C">
        <w:t>Enos v. State of Arizona</w:t>
      </w:r>
      <w:r w:rsidR="00DC6B97">
        <w:t xml:space="preserve"> (2016)</w:t>
      </w:r>
    </w:p>
    <w:p w:rsidR="00851B0E" w:rsidRPr="00851B0E" w:rsidRDefault="00851B0E" w:rsidP="007817EE"/>
    <w:p w:rsidR="00BF6B5C" w:rsidRDefault="00AF284F" w:rsidP="007817EE">
      <w:r>
        <w:t>While the previous</w:t>
      </w:r>
      <w:r w:rsidR="00D41E22">
        <w:t xml:space="preserve"> case focused on the adequacy of emergency planning for a particular place, the next case focuses on the adequacy of emergency planning for a particular service, </w:t>
      </w:r>
      <w:r w:rsidR="00860D40">
        <w:t xml:space="preserve">911 emergency services.  The case is </w:t>
      </w:r>
      <w:r w:rsidR="00860D40" w:rsidRPr="00073F0A">
        <w:rPr>
          <w:i/>
        </w:rPr>
        <w:t>Enos v. State of Arizona</w:t>
      </w:r>
      <w:r w:rsidR="00860D40">
        <w:t>,</w:t>
      </w:r>
      <w:r w:rsidR="00860D40">
        <w:rPr>
          <w:rStyle w:val="EndnoteReference"/>
          <w:bCs/>
          <w:iCs/>
        </w:rPr>
        <w:endnoteReference w:id="36"/>
      </w:r>
      <w:r w:rsidR="00073F0A">
        <w:t xml:space="preserve"> and </w:t>
      </w:r>
      <w:r w:rsidR="00CA4073">
        <w:t>was</w:t>
      </w:r>
      <w:r w:rsidR="00073F0A">
        <w:t xml:space="preserve"> brought by </w:t>
      </w:r>
      <w:r w:rsidR="00E81072">
        <w:t xml:space="preserve">the National </w:t>
      </w:r>
      <w:r w:rsidR="00E81072">
        <w:lastRenderedPageBreak/>
        <w:t xml:space="preserve">Association of the Deaf (NAD) </w:t>
      </w:r>
      <w:r w:rsidR="00073F0A">
        <w:t xml:space="preserve">and three individuals who are deaf or hard of hearing.  The suit was filed under Title II of the ADA and Section 504 of the Rehabilitation Act. </w:t>
      </w:r>
      <w:r w:rsidR="008A38EA">
        <w:t xml:space="preserve">Defendants are the State of Arizona and various local governmental entities that play some role in providing 911 emergency services. </w:t>
      </w:r>
    </w:p>
    <w:p w:rsidR="007817EE" w:rsidRDefault="007817EE" w:rsidP="007817EE"/>
    <w:p w:rsidR="008A38EA" w:rsidRDefault="00FB6274" w:rsidP="007817EE">
      <w:r>
        <w:t>The c</w:t>
      </w:r>
      <w:r w:rsidR="008A38EA">
        <w:t xml:space="preserve">omplaint alleges that Arizona’s 911 </w:t>
      </w:r>
      <w:r w:rsidR="00CA4073">
        <w:t xml:space="preserve">emergency </w:t>
      </w:r>
      <w:r w:rsidR="008A38EA">
        <w:t>services are discriminatory because they are inaccessible to people who are deaf and hard of hearing.</w:t>
      </w:r>
      <w:r w:rsidR="00B46ACF">
        <w:t xml:space="preserve"> Currently, </w:t>
      </w:r>
      <w:r w:rsidR="00106039">
        <w:t xml:space="preserve">people in Arizona who are </w:t>
      </w:r>
      <w:r w:rsidR="00B46ACF">
        <w:t xml:space="preserve">deaf and hard of hearing </w:t>
      </w:r>
      <w:r w:rsidR="00106039">
        <w:t>can only</w:t>
      </w:r>
      <w:r w:rsidR="00B46ACF">
        <w:t xml:space="preserve"> access 911 emergency services by using a TTY</w:t>
      </w:r>
      <w:r w:rsidR="00106039">
        <w:rPr>
          <w:rStyle w:val="EndnoteReference"/>
          <w:bCs/>
          <w:iCs/>
        </w:rPr>
        <w:endnoteReference w:id="37"/>
      </w:r>
      <w:r w:rsidR="006F2E8A">
        <w:t xml:space="preserve"> </w:t>
      </w:r>
      <w:r w:rsidR="00B46ACF">
        <w:t xml:space="preserve">or the </w:t>
      </w:r>
      <w:r w:rsidR="006F2E8A">
        <w:t>Telecommunications Relay Service (TRS)</w:t>
      </w:r>
      <w:r w:rsidR="006F2E8A">
        <w:rPr>
          <w:rStyle w:val="EndnoteReference"/>
          <w:bCs/>
          <w:iCs/>
        </w:rPr>
        <w:endnoteReference w:id="38"/>
      </w:r>
      <w:r w:rsidR="00B46ACF">
        <w:t xml:space="preserve">.  Plaintiffs contend that neither of these options is adequate and fails to provide deaf and hard of hearing people with meaningful access to </w:t>
      </w:r>
      <w:r w:rsidR="0076732A">
        <w:t>Public Safety Access Points (PSAPs), which handle 911 calls</w:t>
      </w:r>
      <w:r w:rsidR="00B46ACF">
        <w:t>.  While TTYs were f</w:t>
      </w:r>
      <w:r w:rsidR="00AF284F">
        <w:t>or many years a primary way for</w:t>
      </w:r>
      <w:r w:rsidR="00B46ACF">
        <w:t xml:space="preserve"> deaf a</w:t>
      </w:r>
      <w:r w:rsidR="00210380">
        <w:t xml:space="preserve">nd hard of hearing people </w:t>
      </w:r>
      <w:r w:rsidR="00AF284F">
        <w:t>to communicate</w:t>
      </w:r>
      <w:r w:rsidR="00210380">
        <w:t xml:space="preserve"> over the phone, they have become obsolete as technology has advanced.  Similarly, </w:t>
      </w:r>
      <w:r w:rsidR="00744FA9">
        <w:t>TRS</w:t>
      </w:r>
      <w:r w:rsidR="00210380">
        <w:t xml:space="preserve"> is deemed an inadequate solution because it requires access to a high-speed internet connection</w:t>
      </w:r>
      <w:r w:rsidR="00744FA9">
        <w:t>, which is often not available</w:t>
      </w:r>
      <w:r w:rsidR="00210380">
        <w:t xml:space="preserve">.  </w:t>
      </w:r>
      <w:r w:rsidR="00015393">
        <w:t xml:space="preserve">Plaintiffs </w:t>
      </w:r>
      <w:r w:rsidR="00AF284F">
        <w:t xml:space="preserve">also </w:t>
      </w:r>
      <w:r w:rsidR="00015393">
        <w:t>allege that people with other communication disabilities, such as cerebral palsy, Parkinson’s</w:t>
      </w:r>
      <w:r w:rsidR="00744FA9">
        <w:t xml:space="preserve"> Disease</w:t>
      </w:r>
      <w:r w:rsidR="00015393">
        <w:t xml:space="preserve"> and non-verbal autism</w:t>
      </w:r>
      <w:r w:rsidR="00AF284F">
        <w:t>,</w:t>
      </w:r>
      <w:r w:rsidR="00015393">
        <w:t xml:space="preserve"> also </w:t>
      </w:r>
      <w:r w:rsidR="00744FA9">
        <w:t xml:space="preserve">are </w:t>
      </w:r>
      <w:r w:rsidR="00015393">
        <w:t xml:space="preserve">denied meaningful access to 911 emergency services. </w:t>
      </w:r>
    </w:p>
    <w:p w:rsidR="007817EE" w:rsidRDefault="007817EE" w:rsidP="007817EE"/>
    <w:p w:rsidR="00210380" w:rsidRDefault="00744FA9" w:rsidP="007817EE">
      <w:r>
        <w:t>As an alternative to the current 911 options,</w:t>
      </w:r>
      <w:r w:rsidR="004E0C34">
        <w:t xml:space="preserve"> plaintiffs requested that Arizona implement a system that would allow </w:t>
      </w:r>
      <w:r w:rsidR="00447D20">
        <w:t>them and others with communication disabilities to a</w:t>
      </w:r>
      <w:r w:rsidR="004E0C34">
        <w:t xml:space="preserve">ccess 911 emergency services by sending text messages via cell phones. </w:t>
      </w:r>
      <w:r>
        <w:t xml:space="preserve"> Plaintiffs allege that d</w:t>
      </w:r>
      <w:r w:rsidR="00095A82">
        <w:t xml:space="preserve">efendants have refused to implement </w:t>
      </w:r>
      <w:r>
        <w:t xml:space="preserve">a text-to-911 option </w:t>
      </w:r>
      <w:r w:rsidR="00095A82">
        <w:t xml:space="preserve">despite the fact that 599 municipalities in 32 other states have adopted </w:t>
      </w:r>
      <w:r>
        <w:t>such</w:t>
      </w:r>
      <w:r w:rsidR="00095A82">
        <w:t xml:space="preserve"> systems.</w:t>
      </w:r>
    </w:p>
    <w:p w:rsidR="007817EE" w:rsidRDefault="007817EE" w:rsidP="007817EE"/>
    <w:p w:rsidR="001A20A8" w:rsidRDefault="00FB6274" w:rsidP="007817EE">
      <w:r>
        <w:t>In response to the c</w:t>
      </w:r>
      <w:r w:rsidR="00744FA9">
        <w:t>omplaint, d</w:t>
      </w:r>
      <w:r>
        <w:t>efendants filed a motion to d</w:t>
      </w:r>
      <w:r w:rsidR="001A20A8">
        <w:t>ismiss.  Defendants argue</w:t>
      </w:r>
      <w:r w:rsidR="00772499">
        <w:t xml:space="preserve">d that Title II of the ADA </w:t>
      </w:r>
      <w:r w:rsidR="001A20A8">
        <w:t xml:space="preserve">requires </w:t>
      </w:r>
      <w:r w:rsidR="00772499">
        <w:t xml:space="preserve">only </w:t>
      </w:r>
      <w:r w:rsidR="001A20A8">
        <w:t>meaningful access and not equal access to state and local government services.  Bec</w:t>
      </w:r>
      <w:r w:rsidR="005304C2">
        <w:t xml:space="preserve">ause there </w:t>
      </w:r>
      <w:r w:rsidR="00DC6B97">
        <w:t xml:space="preserve">already </w:t>
      </w:r>
      <w:r w:rsidR="005304C2">
        <w:t xml:space="preserve">is a reasonable process for </w:t>
      </w:r>
      <w:r w:rsidR="001A20A8">
        <w:t>plaintiffs to access 911 emergency services</w:t>
      </w:r>
      <w:r w:rsidR="005304C2">
        <w:t>, d</w:t>
      </w:r>
      <w:r w:rsidR="007A73EC">
        <w:t>efendants claim</w:t>
      </w:r>
      <w:r w:rsidR="00772499">
        <w:t>ed</w:t>
      </w:r>
      <w:r w:rsidR="007A73EC">
        <w:t xml:space="preserve"> they have met their obligations under the ADA.</w:t>
      </w:r>
    </w:p>
    <w:p w:rsidR="007A73EC" w:rsidRDefault="007A73EC" w:rsidP="007817EE">
      <w:r>
        <w:t xml:space="preserve">The court </w:t>
      </w:r>
      <w:r w:rsidR="000354C8">
        <w:t>denied the</w:t>
      </w:r>
      <w:r w:rsidR="00FB6274">
        <w:t xml:space="preserve"> motion to d</w:t>
      </w:r>
      <w:r>
        <w:t>ismiss</w:t>
      </w:r>
      <w:r w:rsidR="000354C8">
        <w:t xml:space="preserve"> and allowed t</w:t>
      </w:r>
      <w:r w:rsidR="005304C2">
        <w:t>he p</w:t>
      </w:r>
      <w:r w:rsidR="000354C8">
        <w:t>laintiffs’ case to proceed</w:t>
      </w:r>
      <w:r>
        <w:t>.</w:t>
      </w:r>
      <w:r>
        <w:rPr>
          <w:rStyle w:val="EndnoteReference"/>
          <w:bCs/>
          <w:iCs/>
        </w:rPr>
        <w:endnoteReference w:id="39"/>
      </w:r>
      <w:r w:rsidR="000354C8">
        <w:t xml:space="preserve"> Specific</w:t>
      </w:r>
      <w:r w:rsidR="005304C2">
        <w:t>ally, the court found that p</w:t>
      </w:r>
      <w:r w:rsidR="00CA3359">
        <w:t>laintiffs had</w:t>
      </w:r>
      <w:r w:rsidR="000354C8">
        <w:t xml:space="preserve"> made sufficient allegations</w:t>
      </w:r>
      <w:r w:rsidR="005304C2">
        <w:t xml:space="preserve"> that no</w:t>
      </w:r>
      <w:r w:rsidR="00DC6B97">
        <w:t>t being able to use text messaging</w:t>
      </w:r>
      <w:r w:rsidR="005304C2">
        <w:t xml:space="preserve"> to access </w:t>
      </w:r>
      <w:r w:rsidR="000354C8">
        <w:t xml:space="preserve">911 </w:t>
      </w:r>
      <w:r w:rsidR="005304C2">
        <w:t xml:space="preserve">emergency services </w:t>
      </w:r>
      <w:r w:rsidR="000354C8">
        <w:t xml:space="preserve">is a denial of </w:t>
      </w:r>
      <w:r w:rsidR="00AF284F">
        <w:t xml:space="preserve">the </w:t>
      </w:r>
      <w:r w:rsidR="005304C2">
        <w:t xml:space="preserve">ADA’s requirement to provide people with disabilities </w:t>
      </w:r>
      <w:r w:rsidR="00AF284F">
        <w:t xml:space="preserve">with </w:t>
      </w:r>
      <w:r w:rsidR="000354C8">
        <w:t>meaningful access</w:t>
      </w:r>
      <w:r w:rsidR="005304C2">
        <w:t xml:space="preserve"> to a government program</w:t>
      </w:r>
      <w:r w:rsidR="000354C8">
        <w:t>.</w:t>
      </w:r>
      <w:r w:rsidR="00FE53F5">
        <w:t xml:space="preserve"> “By alleging that deaf and hard of heari</w:t>
      </w:r>
      <w:r w:rsidR="0076732A">
        <w:t>ng persons cannot access PSAPs when outside their homes and beyond access to high-speed internet, Plaintiffs have stated a meaningful access claim.”</w:t>
      </w:r>
      <w:r w:rsidR="0076732A">
        <w:rPr>
          <w:rStyle w:val="EndnoteReference"/>
          <w:bCs/>
          <w:iCs/>
        </w:rPr>
        <w:endnoteReference w:id="40"/>
      </w:r>
    </w:p>
    <w:p w:rsidR="007817EE" w:rsidRDefault="007817EE" w:rsidP="007817EE"/>
    <w:p w:rsidR="002D0E2A" w:rsidRDefault="00AF284F" w:rsidP="007817EE">
      <w:r>
        <w:t>The court also hel</w:t>
      </w:r>
      <w:r w:rsidR="002D0E2A">
        <w:t xml:space="preserve">d that the </w:t>
      </w:r>
      <w:r w:rsidR="003D6F9D">
        <w:t xml:space="preserve">individual </w:t>
      </w:r>
      <w:r w:rsidR="005304C2">
        <w:t>p</w:t>
      </w:r>
      <w:r w:rsidR="002D0E2A">
        <w:t>laintiffs</w:t>
      </w:r>
      <w:r w:rsidR="003D6F9D">
        <w:t xml:space="preserve"> have legal standing to bring this case</w:t>
      </w:r>
      <w:r w:rsidR="005304C2">
        <w:t>. The court found the p</w:t>
      </w:r>
      <w:r w:rsidR="00741DA6">
        <w:t>laintiffs</w:t>
      </w:r>
      <w:r w:rsidR="003D6F9D">
        <w:t xml:space="preserve"> </w:t>
      </w:r>
      <w:r w:rsidR="00275F63">
        <w:t>allege</w:t>
      </w:r>
      <w:r w:rsidR="00741DA6">
        <w:t xml:space="preserve">d past difficulties </w:t>
      </w:r>
      <w:r w:rsidR="00B45FF3">
        <w:t>accessing 911 emergency services and sufficiently alleged</w:t>
      </w:r>
      <w:r w:rsidR="00275F63">
        <w:t xml:space="preserve"> a </w:t>
      </w:r>
      <w:r w:rsidR="009D5073">
        <w:t>“</w:t>
      </w:r>
      <w:r w:rsidR="00275F63">
        <w:t>real likelihood</w:t>
      </w:r>
      <w:r w:rsidR="009D5073">
        <w:t>”</w:t>
      </w:r>
      <w:r w:rsidR="005304C2">
        <w:t xml:space="preserve"> that they will need</w:t>
      </w:r>
      <w:r w:rsidR="00275F63">
        <w:t xml:space="preserve"> to contact 911</w:t>
      </w:r>
      <w:r w:rsidR="005304C2">
        <w:t xml:space="preserve"> </w:t>
      </w:r>
      <w:r w:rsidR="009D5073">
        <w:t xml:space="preserve">in the </w:t>
      </w:r>
      <w:r w:rsidR="007867E6">
        <w:t xml:space="preserve">future and there is a real and </w:t>
      </w:r>
      <w:r w:rsidR="007867E6">
        <w:lastRenderedPageBreak/>
        <w:t>immediate threat of repeated injury</w:t>
      </w:r>
      <w:r w:rsidR="00275F63">
        <w:t xml:space="preserve"> </w:t>
      </w:r>
      <w:r w:rsidR="00741DA6">
        <w:t xml:space="preserve">due to the </w:t>
      </w:r>
      <w:r w:rsidR="005304C2">
        <w:t>d</w:t>
      </w:r>
      <w:r w:rsidR="007867E6">
        <w:t>efendants</w:t>
      </w:r>
      <w:r w:rsidR="00741DA6">
        <w:t>’</w:t>
      </w:r>
      <w:r w:rsidR="007867E6">
        <w:t xml:space="preserve"> failure to provide text-to-911 service.</w:t>
      </w:r>
      <w:r w:rsidR="00DB0F22">
        <w:rPr>
          <w:rStyle w:val="EndnoteReference"/>
          <w:bCs/>
          <w:iCs/>
        </w:rPr>
        <w:endnoteReference w:id="41"/>
      </w:r>
    </w:p>
    <w:p w:rsidR="007817EE" w:rsidRDefault="007817EE" w:rsidP="007817EE"/>
    <w:p w:rsidR="00B45FF3" w:rsidRDefault="00AF284F" w:rsidP="007817EE">
      <w:r>
        <w:t>Similarly, the court hel</w:t>
      </w:r>
      <w:r w:rsidR="0011441A">
        <w:t xml:space="preserve">d that </w:t>
      </w:r>
      <w:r w:rsidR="00E81072">
        <w:t>NAD</w:t>
      </w:r>
      <w:r w:rsidR="0011441A">
        <w:t xml:space="preserve"> </w:t>
      </w:r>
      <w:r w:rsidR="00E81072">
        <w:t xml:space="preserve">has legal standing as an organizational plaintiff. The </w:t>
      </w:r>
      <w:r>
        <w:t xml:space="preserve">court found that the </w:t>
      </w:r>
      <w:r w:rsidR="00772499">
        <w:t>c</w:t>
      </w:r>
      <w:r w:rsidR="00E81072">
        <w:t xml:space="preserve">omplaint sufficiently alleges that </w:t>
      </w:r>
      <w:r w:rsidR="005304C2">
        <w:t xml:space="preserve">many </w:t>
      </w:r>
      <w:r w:rsidR="00E81072">
        <w:t>NAD members</w:t>
      </w:r>
      <w:r w:rsidR="00D54B51">
        <w:t xml:space="preserve"> do not have TTY equipment or high-speed internet access and thus</w:t>
      </w:r>
      <w:r w:rsidR="00DC6B97">
        <w:t>,</w:t>
      </w:r>
      <w:r w:rsidR="00D54B51">
        <w:t xml:space="preserve"> cannot access 911 emergency services.  Since NAD members would have standing to sue in their own right, NAD has standing</w:t>
      </w:r>
      <w:r w:rsidR="005304C2">
        <w:t xml:space="preserve"> as an organization</w:t>
      </w:r>
      <w:r w:rsidR="00D54B51">
        <w:t>.  Moreover, NAD</w:t>
      </w:r>
      <w:r w:rsidR="00772499">
        <w:t xml:space="preserve"> alleged sufficient facts that its</w:t>
      </w:r>
      <w:r w:rsidR="00D54B51">
        <w:t xml:space="preserve"> claims are germane to NAD’s purpose</w:t>
      </w:r>
      <w:r w:rsidR="00E658C1">
        <w:t xml:space="preserve"> and the lawsuit is widely applicable to all of its members</w:t>
      </w:r>
      <w:r>
        <w:t>, and thus, NAD has</w:t>
      </w:r>
      <w:r w:rsidR="005304C2">
        <w:t xml:space="preserve"> associational standing</w:t>
      </w:r>
      <w:r w:rsidR="00E658C1">
        <w:t>.</w:t>
      </w:r>
      <w:r w:rsidR="00E658C1">
        <w:rPr>
          <w:rStyle w:val="EndnoteReference"/>
          <w:bCs/>
          <w:iCs/>
        </w:rPr>
        <w:endnoteReference w:id="42"/>
      </w:r>
    </w:p>
    <w:p w:rsidR="007817EE" w:rsidRDefault="007817EE" w:rsidP="007817EE"/>
    <w:p w:rsidR="00C878CE" w:rsidRDefault="00AF284F" w:rsidP="007817EE">
      <w:r>
        <w:t xml:space="preserve">At the time of the writing of this brief, the </w:t>
      </w:r>
      <w:r w:rsidR="00462236">
        <w:t xml:space="preserve">parties </w:t>
      </w:r>
      <w:r>
        <w:t xml:space="preserve">were engaged in pre-trial discovery. </w:t>
      </w:r>
    </w:p>
    <w:p w:rsidR="007817EE" w:rsidRDefault="007817EE" w:rsidP="007817EE"/>
    <w:p w:rsidR="00045236" w:rsidRPr="00851B0E" w:rsidRDefault="00851B0E" w:rsidP="007817EE">
      <w:pPr>
        <w:pStyle w:val="Heading3"/>
      </w:pPr>
      <w:r w:rsidRPr="00851B0E">
        <w:t xml:space="preserve">G. </w:t>
      </w:r>
      <w:r w:rsidR="00045236" w:rsidRPr="00851B0E">
        <w:t>Loye v. County of Dakota</w:t>
      </w:r>
      <w:r w:rsidR="00AB484F" w:rsidRPr="00851B0E">
        <w:t xml:space="preserve"> (2009)</w:t>
      </w:r>
    </w:p>
    <w:p w:rsidR="00851B0E" w:rsidRPr="00851B0E" w:rsidRDefault="00851B0E" w:rsidP="007817EE"/>
    <w:p w:rsidR="006C4D31" w:rsidRDefault="00045236" w:rsidP="007817EE">
      <w:r>
        <w:t>The final case for this section addresses the adequacy of a governmental</w:t>
      </w:r>
      <w:r w:rsidR="006C4D31">
        <w:t xml:space="preserve"> entity’s</w:t>
      </w:r>
      <w:r>
        <w:t xml:space="preserve"> response</w:t>
      </w:r>
      <w:r w:rsidR="006C4D31">
        <w:t xml:space="preserve"> to people w</w:t>
      </w:r>
      <w:r w:rsidR="00CA3359">
        <w:t>ith disabilities f</w:t>
      </w:r>
      <w:r w:rsidR="006C4D31">
        <w:t xml:space="preserve">ollowing a particular </w:t>
      </w:r>
      <w:r w:rsidR="00AF284F">
        <w:t xml:space="preserve">emergency </w:t>
      </w:r>
      <w:r w:rsidR="006C4D31">
        <w:t>incident</w:t>
      </w:r>
      <w:r>
        <w:t xml:space="preserve">.  In </w:t>
      </w:r>
      <w:r>
        <w:rPr>
          <w:i/>
        </w:rPr>
        <w:t xml:space="preserve">Loye v. County of Dakota, </w:t>
      </w:r>
      <w:r>
        <w:t xml:space="preserve">four </w:t>
      </w:r>
      <w:r w:rsidR="006C4D31">
        <w:t xml:space="preserve">deaf </w:t>
      </w:r>
      <w:r>
        <w:t xml:space="preserve">individuals filed suit </w:t>
      </w:r>
      <w:r w:rsidR="006C4D31">
        <w:t xml:space="preserve">under the ADA, Section 504 </w:t>
      </w:r>
      <w:r w:rsidR="00772499">
        <w:t xml:space="preserve">of the Rehabilitation Act </w:t>
      </w:r>
      <w:r w:rsidR="006C4D31">
        <w:t xml:space="preserve">and Minnesota state law </w:t>
      </w:r>
      <w:r>
        <w:t xml:space="preserve">alleging that the County failed to </w:t>
      </w:r>
      <w:r w:rsidR="006C4D31">
        <w:t xml:space="preserve">provide </w:t>
      </w:r>
      <w:r w:rsidR="00CA3359">
        <w:t xml:space="preserve">them with </w:t>
      </w:r>
      <w:r w:rsidR="006C4D31">
        <w:t xml:space="preserve">adequate communication after a hazardous substance was released on a playground.  Police officers and other governmental workers canvassed the area to determine who might have been exposed.  It was determined that 49 people had been exposed, including the four plaintiffs.  The plaintiffs alleged that the defendants failed to provide American Sign Language interpreters </w:t>
      </w:r>
      <w:r w:rsidR="00AF284F">
        <w:t xml:space="preserve">during the decontamination process and follow up services for </w:t>
      </w:r>
      <w:r w:rsidR="006C4D31">
        <w:t>people who had been exposed.  The district court granted the defendants’ motion for summary judgment and the plaintiffs appealed to the Eighth Circuit Court of Appeals.</w:t>
      </w:r>
    </w:p>
    <w:p w:rsidR="007817EE" w:rsidRDefault="007817EE" w:rsidP="007817EE"/>
    <w:p w:rsidR="006C4D31" w:rsidRDefault="006C4D31" w:rsidP="007817EE">
      <w:r>
        <w:t>The Eighth Circuit found in favor of the defendants.</w:t>
      </w:r>
      <w:r w:rsidR="00CC3655">
        <w:rPr>
          <w:rStyle w:val="EndnoteReference"/>
          <w:bCs/>
          <w:iCs/>
        </w:rPr>
        <w:endnoteReference w:id="43"/>
      </w:r>
      <w:r>
        <w:t xml:space="preserve">  With respect to the initial decontamination process, the court held that it was not reasonable to require the emergency responders to come equipped with a </w:t>
      </w:r>
      <w:r w:rsidR="00AF284F">
        <w:t xml:space="preserve">full-time interpreter. The court found that </w:t>
      </w:r>
      <w:r>
        <w:t>plaintiffs</w:t>
      </w:r>
      <w:r w:rsidR="00AF284F">
        <w:t xml:space="preserve"> were able to</w:t>
      </w:r>
      <w:r>
        <w:t xml:space="preserve"> follow directions and </w:t>
      </w:r>
      <w:r w:rsidR="00AF284F">
        <w:t xml:space="preserve">successfully </w:t>
      </w:r>
      <w:r>
        <w:t xml:space="preserve">complete the decontamination process </w:t>
      </w:r>
      <w:r w:rsidR="00AF284F">
        <w:t xml:space="preserve">using </w:t>
      </w:r>
      <w:r>
        <w:t>alternate communication effort</w:t>
      </w:r>
      <w:r w:rsidR="00CC3655">
        <w:t xml:space="preserve">s (writing notes, gesturing, </w:t>
      </w:r>
      <w:r>
        <w:t>lip reading</w:t>
      </w:r>
      <w:r w:rsidR="00CC3655">
        <w:t xml:space="preserve"> and limited sign language</w:t>
      </w:r>
      <w:r w:rsidR="00AF284F">
        <w:t>)</w:t>
      </w:r>
      <w:r>
        <w:t xml:space="preserve">. </w:t>
      </w:r>
      <w:r w:rsidR="00CC3655">
        <w:t xml:space="preserve">Because waiting for an interpreter was </w:t>
      </w:r>
      <w:r w:rsidR="006D31B0">
        <w:t xml:space="preserve">deemed unreasonable </w:t>
      </w:r>
      <w:r w:rsidR="00CC3655">
        <w:t xml:space="preserve">under the exigent circumstances and </w:t>
      </w:r>
      <w:r w:rsidR="006D31B0">
        <w:t>because plaintiffs were found to have</w:t>
      </w:r>
      <w:r w:rsidR="00CC3655">
        <w:t xml:space="preserve"> meaningful access to the emergency decontamination services, the court </w:t>
      </w:r>
      <w:r w:rsidR="006D31B0">
        <w:t xml:space="preserve">held </w:t>
      </w:r>
      <w:r w:rsidR="00CC3655">
        <w:t>there was no ADA violation.</w:t>
      </w:r>
      <w:r w:rsidR="00CC3655">
        <w:rPr>
          <w:rStyle w:val="EndnoteReference"/>
          <w:bCs/>
          <w:iCs/>
        </w:rPr>
        <w:endnoteReference w:id="44"/>
      </w:r>
      <w:r w:rsidR="00CC3655">
        <w:t xml:space="preserve">  The cour</w:t>
      </w:r>
      <w:r w:rsidR="00772499">
        <w:t>t also found that there were no</w:t>
      </w:r>
      <w:r w:rsidR="00CC3655">
        <w:t xml:space="preserve"> ADA violations during follow up large-group meetings and in-person meetings, as </w:t>
      </w:r>
      <w:r w:rsidR="006D31B0">
        <w:t xml:space="preserve">either </w:t>
      </w:r>
      <w:r w:rsidR="00CC3655">
        <w:t>ASL interpreters were provided or other means of communication were effective.</w:t>
      </w:r>
      <w:r w:rsidR="00CC3655">
        <w:rPr>
          <w:rStyle w:val="EndnoteReference"/>
          <w:bCs/>
          <w:iCs/>
        </w:rPr>
        <w:endnoteReference w:id="45"/>
      </w:r>
    </w:p>
    <w:p w:rsidR="00851B0E" w:rsidRPr="00045236" w:rsidRDefault="00851B0E" w:rsidP="007817EE"/>
    <w:p w:rsidR="007817EE" w:rsidRDefault="007817EE" w:rsidP="00F81B76">
      <w:r>
        <w:br w:type="page"/>
      </w:r>
    </w:p>
    <w:p w:rsidR="00824E88" w:rsidRDefault="00147E42" w:rsidP="00F81B76">
      <w:pPr>
        <w:pStyle w:val="Heading2"/>
      </w:pPr>
      <w:r w:rsidRPr="00851B0E">
        <w:lastRenderedPageBreak/>
        <w:t>Emergency Preparedness Litigation Against Schools</w:t>
      </w:r>
    </w:p>
    <w:p w:rsidR="007817EE" w:rsidRPr="007817EE" w:rsidRDefault="007817EE" w:rsidP="007817EE"/>
    <w:p w:rsidR="004300DD" w:rsidRDefault="00147E42" w:rsidP="007817EE">
      <w:r>
        <w:t xml:space="preserve">Since the passage of the ADA, there has been a dramatic increase in </w:t>
      </w:r>
      <w:r w:rsidR="004300DD">
        <w:t>mass shootings in the United States.</w:t>
      </w:r>
      <w:r w:rsidR="004300DD">
        <w:rPr>
          <w:rStyle w:val="EndnoteReference"/>
          <w:bCs/>
          <w:iCs/>
        </w:rPr>
        <w:endnoteReference w:id="46"/>
      </w:r>
      <w:r w:rsidR="004300DD">
        <w:t xml:space="preserve">  Many of these shootings have taken place at education</w:t>
      </w:r>
      <w:r w:rsidR="00772499">
        <w:t>al</w:t>
      </w:r>
      <w:r w:rsidR="004300DD">
        <w:t xml:space="preserve"> institutions, including prominent mass shootings at Columbine High School, Virginia Tech University</w:t>
      </w:r>
      <w:r w:rsidR="00772499">
        <w:t>,</w:t>
      </w:r>
      <w:r w:rsidR="004300DD">
        <w:t xml:space="preserve"> and Sandy Hook Elementary School.  </w:t>
      </w:r>
    </w:p>
    <w:p w:rsidR="007817EE" w:rsidRDefault="007817EE" w:rsidP="007817EE"/>
    <w:p w:rsidR="004300DD" w:rsidRDefault="004300DD" w:rsidP="007817EE">
      <w:r>
        <w:t xml:space="preserve">The ADA requires that public schools (Title II) and private schools (Title III) </w:t>
      </w:r>
      <w:r w:rsidR="006D31B0">
        <w:t>make reasonable modifications to their</w:t>
      </w:r>
      <w:r>
        <w:t xml:space="preserve"> programs to meet the needs </w:t>
      </w:r>
      <w:r w:rsidR="006D31B0">
        <w:t>of students with disabilities. Subsequent l</w:t>
      </w:r>
      <w:r>
        <w:t>itigation confirms that these obligations to students with disabilities extend to emergency planning.</w:t>
      </w:r>
    </w:p>
    <w:p w:rsidR="007817EE" w:rsidRDefault="007817EE" w:rsidP="007817EE"/>
    <w:p w:rsidR="004300DD" w:rsidRDefault="00851B0E" w:rsidP="007817EE">
      <w:pPr>
        <w:pStyle w:val="Heading3"/>
      </w:pPr>
      <w:r>
        <w:t xml:space="preserve">A. </w:t>
      </w:r>
      <w:r w:rsidR="004300DD" w:rsidRPr="00C276E1">
        <w:t>Shirey v. City of Alexandria School Board</w:t>
      </w:r>
      <w:r w:rsidR="00AB484F">
        <w:t xml:space="preserve"> (199</w:t>
      </w:r>
      <w:r w:rsidR="00F91721">
        <w:t>8</w:t>
      </w:r>
      <w:r w:rsidR="00AB484F">
        <w:t>)</w:t>
      </w:r>
    </w:p>
    <w:p w:rsidR="00851B0E" w:rsidRPr="00851B0E" w:rsidRDefault="00851B0E" w:rsidP="007817EE"/>
    <w:p w:rsidR="00C276E1" w:rsidRDefault="00C276E1" w:rsidP="007817EE">
      <w:r w:rsidRPr="00C276E1">
        <w:t>The first reported case on emerge</w:t>
      </w:r>
      <w:r w:rsidR="00CA3359">
        <w:t>ncy preparedness under the ADA wa</w:t>
      </w:r>
      <w:r w:rsidRPr="00C276E1">
        <w:t xml:space="preserve">s </w:t>
      </w:r>
      <w:r w:rsidR="006D31B0">
        <w:rPr>
          <w:i/>
        </w:rPr>
        <w:t xml:space="preserve">Shirey v. City </w:t>
      </w:r>
      <w:r w:rsidRPr="00C276E1">
        <w:rPr>
          <w:i/>
        </w:rPr>
        <w:t>of Alexandria School Board</w:t>
      </w:r>
      <w:r>
        <w:rPr>
          <w:i/>
        </w:rPr>
        <w:t>,</w:t>
      </w:r>
      <w:r w:rsidR="00AB484F">
        <w:t xml:space="preserve"> which was filed in 1998</w:t>
      </w:r>
      <w:r>
        <w:t>.</w:t>
      </w:r>
      <w:r w:rsidR="00AB484F">
        <w:rPr>
          <w:rStyle w:val="EndnoteReference"/>
          <w:bCs/>
          <w:iCs/>
        </w:rPr>
        <w:endnoteReference w:id="47"/>
      </w:r>
      <w:r>
        <w:t xml:space="preserve">  Unlike all of the other litigation discussed thus far, the </w:t>
      </w:r>
      <w:r>
        <w:rPr>
          <w:i/>
        </w:rPr>
        <w:t xml:space="preserve">Shirey </w:t>
      </w:r>
      <w:r>
        <w:t xml:space="preserve">case was brought on behalf of one person with a disability who </w:t>
      </w:r>
      <w:r w:rsidR="006D31B0">
        <w:t xml:space="preserve">experienced problems during </w:t>
      </w:r>
      <w:r>
        <w:t>school emergency evacuation</w:t>
      </w:r>
      <w:r w:rsidR="006D31B0">
        <w:t>s</w:t>
      </w:r>
      <w:r>
        <w:t>.</w:t>
      </w:r>
    </w:p>
    <w:p w:rsidR="007817EE" w:rsidRDefault="007817EE" w:rsidP="007817EE"/>
    <w:p w:rsidR="00C276E1" w:rsidRDefault="00C276E1" w:rsidP="007817EE">
      <w:r>
        <w:t xml:space="preserve">Cady Shirey attended G.W. Middle School in Alexandria Virginia.  Her disability required the use of a motorized wheelchair.  By all accounts, the school provided the accommodations and services Cady needed to be fully included in school.  </w:t>
      </w:r>
    </w:p>
    <w:p w:rsidR="007817EE" w:rsidRDefault="007817EE" w:rsidP="007817EE"/>
    <w:p w:rsidR="00717FA4" w:rsidRDefault="00C276E1" w:rsidP="007817EE">
      <w:r>
        <w:t xml:space="preserve">In 1996, the school was evacuated because of a bomb threat. While all of </w:t>
      </w:r>
      <w:r w:rsidR="006D31B0">
        <w:t xml:space="preserve">the </w:t>
      </w:r>
      <w:r>
        <w:t>non-disabled students were evacuated, Cady and another student with a disability remained in the school for seventy minutes with one of the teachers. Although no bomb was discovered in the school, Cady’s parents were upset that their daughter was not evacuated. Accor</w:t>
      </w:r>
      <w:r w:rsidR="00717FA4">
        <w:t>dingly, Cady’s parents filed a C</w:t>
      </w:r>
      <w:r>
        <w:t xml:space="preserve">omplaint with the Office for Civil Rights </w:t>
      </w:r>
      <w:r w:rsidR="00717FA4">
        <w:t xml:space="preserve">(“OCR”) </w:t>
      </w:r>
      <w:r>
        <w:t>of the U.S. Department of Education.</w:t>
      </w:r>
      <w:r w:rsidR="00717FA4">
        <w:t xml:space="preserve"> The Complaint alleged that the School Board discriminated against Cady by failing to evacuate her during the bomb threat incident</w:t>
      </w:r>
      <w:r w:rsidR="00AC351D">
        <w:t xml:space="preserve"> because of her disability</w:t>
      </w:r>
      <w:r w:rsidR="00717FA4">
        <w:t>.  The parties agreed to mediation through OCR’s Early Complaint Resolution procedure.  As a result</w:t>
      </w:r>
      <w:r w:rsidR="006D31B0">
        <w:t>,</w:t>
      </w:r>
      <w:r w:rsidR="00772499">
        <w:t xml:space="preserve"> an a</w:t>
      </w:r>
      <w:r w:rsidR="00717FA4">
        <w:t xml:space="preserve">greement was reached and Cady’s parents agreed to drop their pending OCR Complaint against the School Board.  </w:t>
      </w:r>
    </w:p>
    <w:p w:rsidR="00C276E1" w:rsidRDefault="00717FA4" w:rsidP="007817EE">
      <w:r>
        <w:t xml:space="preserve">Under the OCR Agreement, the School Board committed to </w:t>
      </w:r>
      <w:r w:rsidR="006D31B0">
        <w:t xml:space="preserve">develop </w:t>
      </w:r>
      <w:r>
        <w:t xml:space="preserve">a new Emergency Preparedness Plan to address the needs of students with disabilities with input from Cady’s parents. Under the new plan, students with disabilities would be sent to a designated safe room in the event of an emergency with a responsible adult where a special flag and cell phone would be placed to facilitate communication with school and emergency </w:t>
      </w:r>
      <w:r w:rsidR="006D31B0">
        <w:t>responders</w:t>
      </w:r>
      <w:r>
        <w:t xml:space="preserve">.  If an actual evacuation were necessary, emergency personnel would evacuate the students with disabilities </w:t>
      </w:r>
      <w:r>
        <w:lastRenderedPageBreak/>
        <w:t>from the identified safe room. Training was provided on the new plan and practice drills were run to ensure that it worked smoothly.</w:t>
      </w:r>
    </w:p>
    <w:p w:rsidR="007817EE" w:rsidRDefault="007817EE" w:rsidP="007817EE"/>
    <w:p w:rsidR="00C276E1" w:rsidRDefault="00717FA4" w:rsidP="007817EE">
      <w:r>
        <w:t>In 1997, an unscheduled fire alarm went off.  Cady went to the designated safe room while other stu</w:t>
      </w:r>
      <w:r w:rsidR="006D31B0">
        <w:t>dents evacuated the building.  However, contrary to the plan, t</w:t>
      </w:r>
      <w:r>
        <w:t>he faculty member designated to stay with Cady in the safe room evacuated with the non-disabled students.  Cady was left alone until her math teacher found her and stayed with her for the duration of the incident.</w:t>
      </w:r>
    </w:p>
    <w:p w:rsidR="00717FA4" w:rsidRDefault="00492B02" w:rsidP="007817EE">
      <w:r>
        <w:t>Following this incident, Cady’s parents filed suit under Title II of the ADA and Section 504 of the Rehabilitation Act based on both incidents in which Cady had not been evacuated and based on alleged defects in the revised emergency plan.</w:t>
      </w:r>
      <w:r w:rsidR="00772499">
        <w:t xml:space="preserve">  The trial court entered summary judgment in favor of the School Board with respect to both incidents, and the plaintiffs appealed to the Fourth Circuit Court of Appeals.</w:t>
      </w:r>
    </w:p>
    <w:p w:rsidR="007817EE" w:rsidRDefault="007817EE" w:rsidP="007817EE"/>
    <w:p w:rsidR="00492B02" w:rsidRDefault="00492B02" w:rsidP="007817EE">
      <w:r>
        <w:t>The Fourth Circuit ruled for the plaintiffs with respect to the first inc</w:t>
      </w:r>
      <w:r w:rsidR="006D31B0">
        <w:t>ident and for the defendants with respect to</w:t>
      </w:r>
      <w:r>
        <w:t xml:space="preserve"> the second incident.</w:t>
      </w:r>
      <w:r>
        <w:rPr>
          <w:rStyle w:val="EndnoteReference"/>
          <w:bCs/>
          <w:iCs/>
        </w:rPr>
        <w:endnoteReference w:id="48"/>
      </w:r>
      <w:r>
        <w:t xml:space="preserve">  For the first incident, the </w:t>
      </w:r>
      <w:r w:rsidR="006D31B0">
        <w:t xml:space="preserve">court found that </w:t>
      </w:r>
      <w:r>
        <w:t xml:space="preserve">undisputed facts demonstrated that the School Board had no reasonable plan in place to evacuate students with disabilities during an emergency.  Accordingly, the School Board was liable under the ADA and the Rehabilitation Act. However, the </w:t>
      </w:r>
      <w:r w:rsidR="006D31B0">
        <w:t>court held that the remedy for that violation</w:t>
      </w:r>
      <w:r>
        <w:t xml:space="preserve"> would be for the School Board to develop and implement a reasonable evacuation plan for </w:t>
      </w:r>
      <w:r w:rsidR="007A788D">
        <w:t xml:space="preserve">students with disabilities. </w:t>
      </w:r>
      <w:r>
        <w:t>Since the School Board develop</w:t>
      </w:r>
      <w:r w:rsidR="007A788D">
        <w:t>ed</w:t>
      </w:r>
      <w:r>
        <w:t xml:space="preserve"> and implement</w:t>
      </w:r>
      <w:r w:rsidR="007A788D">
        <w:t>ed</w:t>
      </w:r>
      <w:r>
        <w:t xml:space="preserve"> such a plan</w:t>
      </w:r>
      <w:r w:rsidR="00A00E7D">
        <w:t xml:space="preserve"> after the first incident, the</w:t>
      </w:r>
      <w:r w:rsidR="006D31B0">
        <w:t xml:space="preserve"> court held that </w:t>
      </w:r>
      <w:r>
        <w:t>no further relief was warranted.</w:t>
      </w:r>
      <w:r w:rsidR="00C87F7F">
        <w:rPr>
          <w:rStyle w:val="EndnoteReference"/>
          <w:bCs/>
          <w:iCs/>
        </w:rPr>
        <w:endnoteReference w:id="49"/>
      </w:r>
    </w:p>
    <w:p w:rsidR="007817EE" w:rsidRDefault="007817EE" w:rsidP="007817EE"/>
    <w:p w:rsidR="00492B02" w:rsidRDefault="006D31B0" w:rsidP="007817EE">
      <w:r>
        <w:t xml:space="preserve">With respect to </w:t>
      </w:r>
      <w:r w:rsidR="00492B02">
        <w:t>the second incident, the court found that Cady was not excluded from safe evac</w:t>
      </w:r>
      <w:r w:rsidR="00C87F7F">
        <w:t>uation procedures.  The School B</w:t>
      </w:r>
      <w:r w:rsidR="00492B02">
        <w:t>oard had developed and implemented a revised emergency preparedness plan to safely evacuate students with disabilities</w:t>
      </w:r>
      <w:r w:rsidR="00C87F7F">
        <w:t xml:space="preserve"> with the advice of local fire and police officials and with input from Cady’s parents. The court held that imperfect execution of the plan was not an ADA violation, as long as the plan itself conformed to the ADA and </w:t>
      </w:r>
      <w:r w:rsidR="00676BE2">
        <w:t xml:space="preserve">that </w:t>
      </w:r>
      <w:r w:rsidR="00C87F7F">
        <w:t xml:space="preserve">reasonable </w:t>
      </w:r>
      <w:r w:rsidR="007219DD">
        <w:t xml:space="preserve">implementation </w:t>
      </w:r>
      <w:r w:rsidR="00C87F7F">
        <w:t>efforts, such as training and practice drills, had been made.</w:t>
      </w:r>
      <w:r w:rsidR="00C87F7F">
        <w:rPr>
          <w:rStyle w:val="EndnoteReference"/>
          <w:bCs/>
          <w:iCs/>
        </w:rPr>
        <w:endnoteReference w:id="50"/>
      </w:r>
      <w:r>
        <w:t xml:space="preserve">  Because the School Board’s plan and its subsequent implementation efforts were deemed reasonable, the court held there was no ADA violation.</w:t>
      </w:r>
    </w:p>
    <w:p w:rsidR="007817EE" w:rsidRDefault="007817EE" w:rsidP="007817EE"/>
    <w:p w:rsidR="007219DD" w:rsidRDefault="00851B0E" w:rsidP="007817EE">
      <w:pPr>
        <w:pStyle w:val="Heading3"/>
      </w:pPr>
      <w:r>
        <w:t xml:space="preserve">B. </w:t>
      </w:r>
      <w:r w:rsidR="007219DD">
        <w:t xml:space="preserve">Jagielski-Bazzell </w:t>
      </w:r>
      <w:r w:rsidR="007219DD" w:rsidRPr="007219DD">
        <w:t>v. Los Ange</w:t>
      </w:r>
      <w:r w:rsidR="007219DD">
        <w:t>les Unified School District</w:t>
      </w:r>
      <w:r w:rsidR="007A788D">
        <w:t xml:space="preserve"> (2015)</w:t>
      </w:r>
    </w:p>
    <w:p w:rsidR="00851B0E" w:rsidRPr="00851B0E" w:rsidRDefault="00851B0E" w:rsidP="007817EE"/>
    <w:p w:rsidR="007219DD" w:rsidRDefault="006D31B0" w:rsidP="007817EE">
      <w:r>
        <w:t>More recently, another school district was sued for an inadequate</w:t>
      </w:r>
      <w:r w:rsidR="007219DD">
        <w:t xml:space="preserve"> emergency evacuation plan</w:t>
      </w:r>
      <w:r>
        <w:t>.  In</w:t>
      </w:r>
      <w:r w:rsidR="007219DD">
        <w:t xml:space="preserve"> </w:t>
      </w:r>
      <w:r w:rsidR="007219DD">
        <w:rPr>
          <w:i/>
        </w:rPr>
        <w:t xml:space="preserve">Jagielski-Bazzell </w:t>
      </w:r>
      <w:r w:rsidR="007219DD" w:rsidRPr="007219DD">
        <w:rPr>
          <w:i/>
        </w:rPr>
        <w:t>v. Los Angeles Unified Sch</w:t>
      </w:r>
      <w:r w:rsidR="007219DD">
        <w:rPr>
          <w:i/>
        </w:rPr>
        <w:t>ool District</w:t>
      </w:r>
      <w:r w:rsidR="00F570EA">
        <w:rPr>
          <w:i/>
        </w:rPr>
        <w:t>,</w:t>
      </w:r>
      <w:r w:rsidR="009167AC">
        <w:rPr>
          <w:rStyle w:val="EndnoteReference"/>
          <w:bCs/>
          <w:i/>
          <w:iCs/>
        </w:rPr>
        <w:endnoteReference w:id="51"/>
      </w:r>
      <w:r w:rsidR="00F570EA">
        <w:t xml:space="preserve">  t</w:t>
      </w:r>
      <w:r w:rsidR="007219DD">
        <w:t>he school at issue was Marlton School, a public school for students who are deaf or hard of hearing. The plaintiffs in this case were not students with disabilities, but instead were five de</w:t>
      </w:r>
      <w:r w:rsidR="004B4FFD">
        <w:t xml:space="preserve">af or hard of hearing faculty. </w:t>
      </w:r>
      <w:r w:rsidR="007219DD">
        <w:t>They brought their claim under Title I of the ADA for employment discrimination</w:t>
      </w:r>
      <w:r w:rsidR="009167AC">
        <w:t>, as well as under Section 504 of the Rehabilitation Act and California state law</w:t>
      </w:r>
      <w:r w:rsidR="007219DD">
        <w:t xml:space="preserve">.  Specifically, they alleged that the </w:t>
      </w:r>
      <w:r w:rsidR="007219DD">
        <w:lastRenderedPageBreak/>
        <w:t xml:space="preserve">emergency evacuation plan </w:t>
      </w:r>
      <w:r w:rsidR="004B4FFD">
        <w:t xml:space="preserve">was discriminatory because it </w:t>
      </w:r>
      <w:r w:rsidR="007219DD">
        <w:t xml:space="preserve">did not allow them to safely evacuate themselves and their students. </w:t>
      </w:r>
      <w:r w:rsidR="00B220E0">
        <w:t xml:space="preserve"> The c</w:t>
      </w:r>
      <w:r w:rsidR="00F570EA">
        <w:t xml:space="preserve">omplaint alleged </w:t>
      </w:r>
      <w:r w:rsidR="004B4FFD">
        <w:t xml:space="preserve">Marlton </w:t>
      </w:r>
      <w:r w:rsidR="009167AC">
        <w:t xml:space="preserve">has historically broadcast </w:t>
      </w:r>
      <w:r w:rsidR="00F570EA">
        <w:t>emergency information over loudspeakers, which</w:t>
      </w:r>
      <w:r w:rsidR="00AC351D">
        <w:t xml:space="preserve"> was </w:t>
      </w:r>
      <w:r w:rsidR="009167AC">
        <w:t xml:space="preserve">not accessible to </w:t>
      </w:r>
      <w:r w:rsidR="004B4FFD">
        <w:t>the plaintiffs</w:t>
      </w:r>
      <w:r w:rsidR="00F570EA">
        <w:t>, and t</w:t>
      </w:r>
      <w:r w:rsidR="00AC351D">
        <w:t xml:space="preserve">hat after plaintiffs complained, </w:t>
      </w:r>
      <w:r w:rsidR="00F570EA">
        <w:t>the school had not made meaningful changes to its emergency procedures. P</w:t>
      </w:r>
      <w:r w:rsidR="004B4FFD">
        <w:t xml:space="preserve">laintiffs </w:t>
      </w:r>
      <w:r w:rsidR="00F570EA">
        <w:t>further alleged that when an e</w:t>
      </w:r>
      <w:r w:rsidR="009167AC">
        <w:t>mergency</w:t>
      </w:r>
      <w:r w:rsidR="004B4FFD">
        <w:t xml:space="preserve"> </w:t>
      </w:r>
      <w:r w:rsidR="00F570EA">
        <w:t>arises</w:t>
      </w:r>
      <w:r w:rsidR="009167AC">
        <w:t xml:space="preserve">, they </w:t>
      </w:r>
      <w:r w:rsidR="00F570EA">
        <w:t xml:space="preserve">cannot </w:t>
      </w:r>
      <w:r w:rsidR="009167AC">
        <w:t>determine whether they should evacuate themselves and their students or whether t</w:t>
      </w:r>
      <w:r w:rsidR="004B4FFD">
        <w:t>hey should shelter in place because</w:t>
      </w:r>
      <w:r w:rsidR="009167AC">
        <w:t xml:space="preserve"> it is not safe to evacuate.  </w:t>
      </w:r>
    </w:p>
    <w:p w:rsidR="007817EE" w:rsidRPr="007219DD" w:rsidRDefault="007817EE" w:rsidP="007817EE"/>
    <w:p w:rsidR="007219DD" w:rsidRDefault="00B220E0" w:rsidP="007817EE">
      <w:r>
        <w:t>Following the filing of the c</w:t>
      </w:r>
      <w:r w:rsidR="004B4FFD">
        <w:t>omplai</w:t>
      </w:r>
      <w:r>
        <w:t>nt, the parties entered into a settlement a</w:t>
      </w:r>
      <w:r w:rsidR="004B4FFD">
        <w:t>greement.</w:t>
      </w:r>
      <w:r w:rsidR="004B4FFD">
        <w:rPr>
          <w:rStyle w:val="EndnoteReference"/>
          <w:bCs/>
          <w:iCs/>
        </w:rPr>
        <w:endnoteReference w:id="52"/>
      </w:r>
      <w:r w:rsidR="004B4FFD">
        <w:t xml:space="preserve">  Highlights of the settlement include:</w:t>
      </w:r>
    </w:p>
    <w:p w:rsidR="007817EE" w:rsidRDefault="007817EE" w:rsidP="007817EE"/>
    <w:p w:rsidR="00A92079" w:rsidRDefault="00B220E0" w:rsidP="007817EE">
      <w:pPr>
        <w:pStyle w:val="ListParagraph"/>
        <w:numPr>
          <w:ilvl w:val="0"/>
          <w:numId w:val="17"/>
        </w:numPr>
      </w:pPr>
      <w:r>
        <w:t>i</w:t>
      </w:r>
      <w:r w:rsidR="00A92079">
        <w:t xml:space="preserve">nstallation </w:t>
      </w:r>
      <w:r>
        <w:t xml:space="preserve">in classrooms and common areas </w:t>
      </w:r>
      <w:r w:rsidR="00A92079">
        <w:t>of a n</w:t>
      </w:r>
      <w:r w:rsidR="00B53682" w:rsidRPr="00A92079">
        <w:t xml:space="preserve">ew visual PA system with large HD screens, scrolling LCD display, and video phones to communicate emergency messages and </w:t>
      </w:r>
      <w:r>
        <w:t>allow</w:t>
      </w:r>
      <w:r w:rsidR="00B53682" w:rsidRPr="00A92079">
        <w:t xml:space="preserve"> two-way communication with the front office</w:t>
      </w:r>
      <w:r w:rsidR="00A92079" w:rsidRPr="00A92079">
        <w:t>;</w:t>
      </w:r>
    </w:p>
    <w:p w:rsidR="00B53682" w:rsidRPr="00A92079" w:rsidRDefault="00B220E0" w:rsidP="007817EE">
      <w:pPr>
        <w:pStyle w:val="ListParagraph"/>
        <w:numPr>
          <w:ilvl w:val="0"/>
          <w:numId w:val="17"/>
        </w:numPr>
      </w:pPr>
      <w:r>
        <w:t>i</w:t>
      </w:r>
      <w:r w:rsidR="00A92079">
        <w:t>nstallation of f</w:t>
      </w:r>
      <w:r w:rsidR="00B53682" w:rsidRPr="00A92079">
        <w:t xml:space="preserve">lashing doorbells </w:t>
      </w:r>
      <w:r>
        <w:t xml:space="preserve">and </w:t>
      </w:r>
      <w:r w:rsidRPr="00A92079">
        <w:t xml:space="preserve">peepholes or windows </w:t>
      </w:r>
      <w:r w:rsidR="00B53682" w:rsidRPr="00A92079">
        <w:t>on classroom doors</w:t>
      </w:r>
      <w:r w:rsidR="00A92079">
        <w:t>;</w:t>
      </w:r>
    </w:p>
    <w:p w:rsidR="004B4FFD" w:rsidRDefault="00A92079" w:rsidP="007817EE">
      <w:pPr>
        <w:pStyle w:val="ListParagraph"/>
        <w:numPr>
          <w:ilvl w:val="0"/>
          <w:numId w:val="17"/>
        </w:numPr>
      </w:pPr>
      <w:r>
        <w:t xml:space="preserve">an </w:t>
      </w:r>
      <w:r w:rsidR="004B4FFD" w:rsidRPr="004B4FFD">
        <w:t>ASL interpreter in the command center during emergencies</w:t>
      </w:r>
      <w:r>
        <w:t>;</w:t>
      </w:r>
    </w:p>
    <w:p w:rsidR="00B53682" w:rsidRPr="00A92079" w:rsidRDefault="00B220E0" w:rsidP="007817EE">
      <w:pPr>
        <w:pStyle w:val="ListParagraph"/>
        <w:numPr>
          <w:ilvl w:val="0"/>
          <w:numId w:val="17"/>
        </w:numPr>
      </w:pPr>
      <w:r>
        <w:t xml:space="preserve">addition of </w:t>
      </w:r>
      <w:r w:rsidR="00A92079">
        <w:t xml:space="preserve">ASL to the video </w:t>
      </w:r>
      <w:r w:rsidR="00B53682" w:rsidRPr="00A92079">
        <w:t>describing emergency procedures at the school</w:t>
      </w:r>
      <w:r w:rsidR="00A92079">
        <w:t>;</w:t>
      </w:r>
    </w:p>
    <w:p w:rsidR="00B53682" w:rsidRPr="00A92079" w:rsidRDefault="00B220E0" w:rsidP="007817EE">
      <w:pPr>
        <w:pStyle w:val="ListParagraph"/>
        <w:numPr>
          <w:ilvl w:val="0"/>
          <w:numId w:val="17"/>
        </w:numPr>
      </w:pPr>
      <w:r>
        <w:t>a m</w:t>
      </w:r>
      <w:r w:rsidR="00A92079">
        <w:t>eeting with first responders regarding the</w:t>
      </w:r>
      <w:r w:rsidR="00B53682" w:rsidRPr="00A92079">
        <w:t xml:space="preserve"> new procedures and equipment</w:t>
      </w:r>
      <w:r w:rsidR="00A92079">
        <w:t>;</w:t>
      </w:r>
    </w:p>
    <w:p w:rsidR="00B53682" w:rsidRPr="00A92079" w:rsidRDefault="00B220E0" w:rsidP="007817EE">
      <w:pPr>
        <w:pStyle w:val="ListParagraph"/>
        <w:numPr>
          <w:ilvl w:val="0"/>
          <w:numId w:val="17"/>
        </w:numPr>
      </w:pPr>
      <w:r>
        <w:t>i</w:t>
      </w:r>
      <w:r w:rsidR="00A92079">
        <w:t>nstallation of a t</w:t>
      </w:r>
      <w:r w:rsidR="00B53682" w:rsidRPr="00A92079">
        <w:t>wo-way video camera at the entran</w:t>
      </w:r>
      <w:r>
        <w:t xml:space="preserve">ce gate to the school </w:t>
      </w:r>
      <w:r w:rsidR="007A788D">
        <w:t>facilitating better communication for staff who are deaf</w:t>
      </w:r>
      <w:r w:rsidR="00A92079">
        <w:t>; and</w:t>
      </w:r>
    </w:p>
    <w:p w:rsidR="00B53682" w:rsidRPr="00A92079" w:rsidRDefault="00B220E0" w:rsidP="007817EE">
      <w:pPr>
        <w:pStyle w:val="ListParagraph"/>
        <w:numPr>
          <w:ilvl w:val="0"/>
          <w:numId w:val="17"/>
        </w:numPr>
      </w:pPr>
      <w:r>
        <w:t>m</w:t>
      </w:r>
      <w:r w:rsidR="00B53682" w:rsidRPr="00A92079">
        <w:t xml:space="preserve">onetary relief of $30,000 per plaintiff </w:t>
      </w:r>
      <w:r w:rsidR="00F570EA">
        <w:t>–</w:t>
      </w:r>
      <w:r w:rsidR="00B53682" w:rsidRPr="00A92079">
        <w:t xml:space="preserve"> </w:t>
      </w:r>
      <w:r w:rsidR="00F570EA">
        <w:t xml:space="preserve">for a </w:t>
      </w:r>
      <w:r w:rsidR="00B53682" w:rsidRPr="00A92079">
        <w:t>total of $150,000</w:t>
      </w:r>
    </w:p>
    <w:p w:rsidR="00851B0E" w:rsidRPr="004B4FFD" w:rsidRDefault="00851B0E" w:rsidP="007817EE"/>
    <w:p w:rsidR="009E3650" w:rsidRDefault="009E3650" w:rsidP="007817EE">
      <w:pPr>
        <w:pStyle w:val="Heading2"/>
      </w:pPr>
      <w:r>
        <w:t>Use of Direct Threat Defense In the Context of Emergency Evacuation</w:t>
      </w:r>
    </w:p>
    <w:p w:rsidR="007817EE" w:rsidRPr="007817EE" w:rsidRDefault="007817EE" w:rsidP="007817EE"/>
    <w:p w:rsidR="00B53682" w:rsidRDefault="009E3650" w:rsidP="007817EE">
      <w:r>
        <w:t xml:space="preserve">All the previous cases discussed in this brief arose from concerns that </w:t>
      </w:r>
      <w:r w:rsidR="00F570EA">
        <w:t xml:space="preserve">the </w:t>
      </w:r>
      <w:r>
        <w:t xml:space="preserve">safety of people with disabilities is at risk in emergency evacuations.  However, there is one </w:t>
      </w:r>
      <w:r w:rsidR="00534092">
        <w:t xml:space="preserve">early ADA </w:t>
      </w:r>
      <w:r>
        <w:t>case</w:t>
      </w:r>
      <w:r w:rsidR="00B220E0">
        <w:t xml:space="preserve"> </w:t>
      </w:r>
      <w:r>
        <w:t xml:space="preserve">in which the safety of non-disabled people </w:t>
      </w:r>
      <w:r w:rsidR="00B220E0">
        <w:t>was</w:t>
      </w:r>
      <w:r>
        <w:t xml:space="preserve"> raised </w:t>
      </w:r>
      <w:r w:rsidR="00B220E0">
        <w:t xml:space="preserve">as a defense </w:t>
      </w:r>
      <w:r>
        <w:t xml:space="preserve">in the context of a person with a disability seeking an accommodation.  The case is </w:t>
      </w:r>
      <w:r w:rsidRPr="009E3650">
        <w:rPr>
          <w:i/>
        </w:rPr>
        <w:t>Fielder v. American Multi-Cinema</w:t>
      </w:r>
      <w:r>
        <w:rPr>
          <w:rStyle w:val="EndnoteReference"/>
          <w:bCs/>
          <w:iCs/>
        </w:rPr>
        <w:endnoteReference w:id="53"/>
      </w:r>
      <w:r w:rsidR="00B53682">
        <w:t xml:space="preserve"> and was filed by a wheelchair user who alleged that accessible seating was not fully i</w:t>
      </w:r>
      <w:r w:rsidR="00F570EA">
        <w:t>ntegrated in the theater. Instead</w:t>
      </w:r>
      <w:r w:rsidR="00B53682">
        <w:t>, accessible seating was relegated to the last row of the theater. He sued for public accommodation discrimination under Title III of the ADA and state common law.</w:t>
      </w:r>
    </w:p>
    <w:p w:rsidR="007817EE" w:rsidRDefault="007817EE" w:rsidP="007817EE"/>
    <w:p w:rsidR="00B53682" w:rsidRDefault="00B53682" w:rsidP="007817EE">
      <w:r>
        <w:t>AMC filed a motion for summary judgment arguing</w:t>
      </w:r>
      <w:r w:rsidR="00F570EA">
        <w:t>, among other things,</w:t>
      </w:r>
      <w:r>
        <w:t xml:space="preserve"> that the presence of a wheelchair in the midst of </w:t>
      </w:r>
      <w:r w:rsidR="00F570EA">
        <w:t>non-disabled</w:t>
      </w:r>
      <w:r>
        <w:t xml:space="preserve"> patrons could impede evacuation in the event of an emergency.  AMC argued that by accommodating the plaintiff with integrated seating, he would pose a direct threat to the health and safety of others theater patrons, and thus</w:t>
      </w:r>
      <w:r w:rsidR="00F570EA">
        <w:t xml:space="preserve">, </w:t>
      </w:r>
      <w:r>
        <w:t>AMC’s disparate treatment</w:t>
      </w:r>
      <w:r w:rsidR="00F570EA">
        <w:t xml:space="preserve"> was justified</w:t>
      </w:r>
      <w:r>
        <w:t>.</w:t>
      </w:r>
    </w:p>
    <w:p w:rsidR="007817EE" w:rsidRDefault="007817EE" w:rsidP="007817EE"/>
    <w:p w:rsidR="00FA3146" w:rsidRDefault="00B53682" w:rsidP="007817EE">
      <w:r>
        <w:lastRenderedPageBreak/>
        <w:t>The court denied AMC’s motion for summary judgment</w:t>
      </w:r>
      <w:r w:rsidR="00F570EA">
        <w:t>, but expressed some sympathy to AMC’s argument</w:t>
      </w:r>
      <w:r>
        <w:t>.</w:t>
      </w:r>
      <w:r w:rsidR="00BC6504">
        <w:rPr>
          <w:rStyle w:val="EndnoteReference"/>
          <w:bCs/>
          <w:iCs/>
        </w:rPr>
        <w:endnoteReference w:id="54"/>
      </w:r>
      <w:r w:rsidR="00BC6504">
        <w:t xml:space="preserve">  The court said that </w:t>
      </w:r>
      <w:r w:rsidR="00F570EA">
        <w:t xml:space="preserve">while the plaintiff himself was “agile” and able to move quickly </w:t>
      </w:r>
      <w:r w:rsidR="00FA3146">
        <w:t>in</w:t>
      </w:r>
      <w:r w:rsidR="00F570EA">
        <w:t xml:space="preserve"> his wheelchair, other people using wheelchairs may not be</w:t>
      </w:r>
      <w:r w:rsidR="00FA3146">
        <w:t xml:space="preserve">, </w:t>
      </w:r>
      <w:r w:rsidR="00B220E0">
        <w:t xml:space="preserve">making </w:t>
      </w:r>
      <w:r w:rsidR="00FA3146">
        <w:t>the threat to non-disabled theater patrons more acute</w:t>
      </w:r>
      <w:r w:rsidR="00F570EA">
        <w:t xml:space="preserve">.  The court ruled that </w:t>
      </w:r>
      <w:r w:rsidR="00BC6504">
        <w:t>under the ADA there needed to be an “individualized assessment” as to whether plaintiff and other wheelchair users would pose a significant risk to the emergency eva</w:t>
      </w:r>
      <w:r w:rsidR="00FA3146">
        <w:t>cuation of non-disabled theater patrons</w:t>
      </w:r>
      <w:r w:rsidR="00B220E0">
        <w:t>, and if so, whether AMC could</w:t>
      </w:r>
      <w:r w:rsidR="00BC6504">
        <w:t xml:space="preserve"> readily achieve an accommodation that would ameliorate the potential dangers.</w:t>
      </w:r>
      <w:r w:rsidR="00BC6504">
        <w:rPr>
          <w:rStyle w:val="EndnoteReference"/>
          <w:bCs/>
          <w:iCs/>
        </w:rPr>
        <w:endnoteReference w:id="55"/>
      </w:r>
      <w:r w:rsidR="00DB129F">
        <w:t xml:space="preserve">  </w:t>
      </w:r>
    </w:p>
    <w:p w:rsidR="007A788D" w:rsidRDefault="007A788D" w:rsidP="007817EE"/>
    <w:p w:rsidR="004B6330" w:rsidRDefault="00DB129F" w:rsidP="007817EE">
      <w:r>
        <w:t>This case was decided shortly after the implementation of the AD</w:t>
      </w:r>
      <w:r w:rsidR="00FA3146">
        <w:t xml:space="preserve">A and is not a typical scenario </w:t>
      </w:r>
      <w:r>
        <w:t xml:space="preserve">of the intersection between emergency preparedness and the ADA.  However, ADA stakeholders should </w:t>
      </w:r>
      <w:r w:rsidR="00FA3146">
        <w:t>be aware of this</w:t>
      </w:r>
      <w:r>
        <w:t xml:space="preserve"> potential argument when working on emergency preparedness</w:t>
      </w:r>
      <w:r w:rsidR="00FA3146">
        <w:t xml:space="preserve"> issues</w:t>
      </w:r>
      <w:r>
        <w:t xml:space="preserve">. </w:t>
      </w:r>
    </w:p>
    <w:p w:rsidR="00851B0E" w:rsidRPr="004300DD" w:rsidRDefault="00851B0E" w:rsidP="007817EE"/>
    <w:p w:rsidR="00DE2721" w:rsidRDefault="00DB129F" w:rsidP="007817EE">
      <w:pPr>
        <w:pStyle w:val="Heading2"/>
      </w:pPr>
      <w:r>
        <w:t xml:space="preserve">Emergency Preparedness Guidance and Resources from Federal Agencies </w:t>
      </w:r>
    </w:p>
    <w:p w:rsidR="007817EE" w:rsidRPr="007817EE" w:rsidRDefault="007817EE" w:rsidP="007817EE"/>
    <w:p w:rsidR="00DB129F" w:rsidRDefault="00DB129F" w:rsidP="007817EE">
      <w:r>
        <w:t xml:space="preserve">As noted previously, neither the ADA nor its implementing regulations specifically reference emergency preparedness.  However, </w:t>
      </w:r>
      <w:r w:rsidR="005633E2">
        <w:t xml:space="preserve">several </w:t>
      </w:r>
      <w:r>
        <w:t xml:space="preserve">federal agencies </w:t>
      </w:r>
      <w:r w:rsidR="005633E2">
        <w:t xml:space="preserve">have developed </w:t>
      </w:r>
      <w:r>
        <w:t>guidance and resources to help stakeholders incorporat</w:t>
      </w:r>
      <w:r w:rsidR="00707BC8">
        <w:t>e</w:t>
      </w:r>
      <w:r>
        <w:t xml:space="preserve"> disability-related issues i</w:t>
      </w:r>
      <w:r w:rsidR="00FA3146">
        <w:t>nto emergency planning</w:t>
      </w:r>
      <w:r>
        <w:t>.</w:t>
      </w:r>
    </w:p>
    <w:p w:rsidR="00DB129F" w:rsidRDefault="00045236" w:rsidP="007817EE">
      <w:r>
        <w:t xml:space="preserve">The U.S. Department of Justice has two main resources on emergency preparedness and people with disabilities.  </w:t>
      </w:r>
      <w:r w:rsidR="00B220E0">
        <w:t>The</w:t>
      </w:r>
      <w:r>
        <w:t xml:space="preserve"> </w:t>
      </w:r>
      <w:r w:rsidR="00FA3146">
        <w:t>“</w:t>
      </w:r>
      <w:r>
        <w:t>Title II Checklist: Emergency Management</w:t>
      </w:r>
      <w:r w:rsidR="00FA3146">
        <w:t>”</w:t>
      </w:r>
      <w:r>
        <w:rPr>
          <w:rStyle w:val="EndnoteReference"/>
          <w:bCs/>
          <w:iCs/>
        </w:rPr>
        <w:endnoteReference w:id="56"/>
      </w:r>
      <w:r w:rsidR="00B220E0">
        <w:t xml:space="preserve"> </w:t>
      </w:r>
      <w:r>
        <w:t xml:space="preserve">is a very practical tool for Title II entities to use to ensure that they focus on critical emergency planning issues for people with disabilities.  Additionally, DOJ has issued guidance called </w:t>
      </w:r>
      <w:r w:rsidR="00FA3146">
        <w:t>“</w:t>
      </w:r>
      <w:r w:rsidRPr="00045236">
        <w:t>Making Community Emergency Preparedness and Response Programs Accessib</w:t>
      </w:r>
      <w:r w:rsidR="00FA3146">
        <w:t xml:space="preserve">le to People with Disabilities: </w:t>
      </w:r>
      <w:r w:rsidRPr="00045236">
        <w:t>An ADA Guide for Local Governments</w:t>
      </w:r>
      <w:r w:rsidR="00FA3146">
        <w:t>.”</w:t>
      </w:r>
      <w:r>
        <w:rPr>
          <w:rStyle w:val="EndnoteReference"/>
          <w:bCs/>
          <w:iCs/>
        </w:rPr>
        <w:endnoteReference w:id="57"/>
      </w:r>
      <w:r w:rsidR="00B220E0">
        <w:t xml:space="preserve"> This g</w:t>
      </w:r>
      <w:r>
        <w:t xml:space="preserve">uide identifies and discusses the </w:t>
      </w:r>
      <w:r w:rsidRPr="00045236">
        <w:t>primary areas of concern for emergency preparedness and ADA compliance</w:t>
      </w:r>
      <w:r>
        <w:t xml:space="preserve"> including:</w:t>
      </w:r>
    </w:p>
    <w:p w:rsidR="007817EE" w:rsidRDefault="007817EE" w:rsidP="007817EE"/>
    <w:p w:rsidR="00045236" w:rsidRPr="00045236" w:rsidRDefault="00045236" w:rsidP="007817EE">
      <w:pPr>
        <w:pStyle w:val="ListParagraph"/>
        <w:numPr>
          <w:ilvl w:val="2"/>
          <w:numId w:val="19"/>
        </w:numPr>
      </w:pPr>
      <w:r w:rsidRPr="00045236">
        <w:t>notification</w:t>
      </w:r>
    </w:p>
    <w:p w:rsidR="00045236" w:rsidRPr="00045236" w:rsidRDefault="00045236" w:rsidP="007817EE">
      <w:pPr>
        <w:pStyle w:val="ListParagraph"/>
        <w:numPr>
          <w:ilvl w:val="2"/>
          <w:numId w:val="19"/>
        </w:numPr>
      </w:pPr>
      <w:r w:rsidRPr="00045236">
        <w:t>evacuation</w:t>
      </w:r>
    </w:p>
    <w:p w:rsidR="00045236" w:rsidRPr="00045236" w:rsidRDefault="00045236" w:rsidP="007817EE">
      <w:pPr>
        <w:pStyle w:val="ListParagraph"/>
        <w:numPr>
          <w:ilvl w:val="2"/>
          <w:numId w:val="19"/>
        </w:numPr>
      </w:pPr>
      <w:r w:rsidRPr="00045236">
        <w:t>emergency transportation</w:t>
      </w:r>
    </w:p>
    <w:p w:rsidR="00045236" w:rsidRPr="00045236" w:rsidRDefault="00045236" w:rsidP="007817EE">
      <w:pPr>
        <w:pStyle w:val="ListParagraph"/>
        <w:numPr>
          <w:ilvl w:val="2"/>
          <w:numId w:val="19"/>
        </w:numPr>
      </w:pPr>
      <w:r w:rsidRPr="00045236">
        <w:t>sheltering</w:t>
      </w:r>
    </w:p>
    <w:p w:rsidR="00045236" w:rsidRPr="00045236" w:rsidRDefault="00045236" w:rsidP="007817EE">
      <w:pPr>
        <w:pStyle w:val="ListParagraph"/>
        <w:numPr>
          <w:ilvl w:val="2"/>
          <w:numId w:val="19"/>
        </w:numPr>
      </w:pPr>
      <w:r w:rsidRPr="00045236">
        <w:t xml:space="preserve">access to medications, refrigeration and back-up power </w:t>
      </w:r>
    </w:p>
    <w:p w:rsidR="005633E2" w:rsidRDefault="00045236" w:rsidP="007817EE">
      <w:pPr>
        <w:pStyle w:val="ListParagraph"/>
        <w:numPr>
          <w:ilvl w:val="2"/>
          <w:numId w:val="19"/>
        </w:numPr>
      </w:pPr>
      <w:r w:rsidRPr="00045236">
        <w:t xml:space="preserve">access to mobility devices or service animals </w:t>
      </w:r>
    </w:p>
    <w:p w:rsidR="00045236" w:rsidRDefault="00045236" w:rsidP="007817EE">
      <w:pPr>
        <w:pStyle w:val="ListParagraph"/>
        <w:numPr>
          <w:ilvl w:val="2"/>
          <w:numId w:val="19"/>
        </w:numPr>
      </w:pPr>
      <w:r w:rsidRPr="005633E2">
        <w:t>access to information</w:t>
      </w:r>
    </w:p>
    <w:p w:rsidR="007817EE" w:rsidRPr="005633E2" w:rsidRDefault="007817EE" w:rsidP="007817EE">
      <w:pPr>
        <w:pStyle w:val="ListParagraph"/>
        <w:ind w:left="2160"/>
      </w:pPr>
    </w:p>
    <w:p w:rsidR="00EC38F2" w:rsidRDefault="00B220E0" w:rsidP="007817EE">
      <w:r>
        <w:t>The g</w:t>
      </w:r>
      <w:r w:rsidR="00EC38F2">
        <w:t xml:space="preserve">uide also a) highlights </w:t>
      </w:r>
      <w:r>
        <w:t xml:space="preserve">the importance of </w:t>
      </w:r>
      <w:r w:rsidR="00EC38F2">
        <w:t>using multiple methods of communication; b) promotes the use of confidential and optional registries to identify people with disabilities who need assistance, c) reviews all aspects of shelter accessib</w:t>
      </w:r>
      <w:r w:rsidR="00FA3146">
        <w:t>ility; and d) emphasizes that includ</w:t>
      </w:r>
      <w:r w:rsidR="00EC38F2">
        <w:t>ing people with disabilities in the planning process is critical.</w:t>
      </w:r>
    </w:p>
    <w:p w:rsidR="007817EE" w:rsidRDefault="007817EE" w:rsidP="007817EE"/>
    <w:p w:rsidR="00B64E44" w:rsidRDefault="00FA3146" w:rsidP="007817EE">
      <w:r>
        <w:lastRenderedPageBreak/>
        <w:t>Additionally, t</w:t>
      </w:r>
      <w:r w:rsidR="00EC38F2">
        <w:t>he U.S. Department of Hea</w:t>
      </w:r>
      <w:r>
        <w:t xml:space="preserve">lth and Human Services has </w:t>
      </w:r>
      <w:r w:rsidR="00EC38F2">
        <w:t xml:space="preserve">developed a publication on emergency planning and people with disabilities called </w:t>
      </w:r>
      <w:r>
        <w:t>“</w:t>
      </w:r>
      <w:r w:rsidR="000670C6" w:rsidRPr="00EC38F2">
        <w:t>Avoiding Disasters for the Speci</w:t>
      </w:r>
      <w:r w:rsidR="00EC38F2">
        <w:t>al Needs Population: Effective Planning, Response, and Recovery for the Special Needs P</w:t>
      </w:r>
      <w:r w:rsidR="000670C6" w:rsidRPr="00EC38F2">
        <w:t>opul</w:t>
      </w:r>
      <w:r w:rsidR="00EC38F2">
        <w:t>ation, Consistent with Federal Civil Rights L</w:t>
      </w:r>
      <w:r w:rsidR="000670C6" w:rsidRPr="00EC38F2">
        <w:t>aws</w:t>
      </w:r>
      <w:r w:rsidR="00EC38F2">
        <w:t>.</w:t>
      </w:r>
      <w:r>
        <w:t>”</w:t>
      </w:r>
      <w:r w:rsidR="00EC38F2">
        <w:rPr>
          <w:rStyle w:val="EndnoteReference"/>
          <w:bCs/>
          <w:iCs/>
        </w:rPr>
        <w:endnoteReference w:id="58"/>
      </w:r>
      <w:r w:rsidR="000670C6">
        <w:t xml:space="preserve">  In addition to </w:t>
      </w:r>
      <w:r>
        <w:t xml:space="preserve">reiterating </w:t>
      </w:r>
      <w:r w:rsidR="000670C6">
        <w:t xml:space="preserve">the issues raised in the DOJ documents referenced above, </w:t>
      </w:r>
      <w:r w:rsidR="00B220E0">
        <w:t>this g</w:t>
      </w:r>
      <w:r w:rsidR="00B64E44">
        <w:t xml:space="preserve">uide </w:t>
      </w:r>
      <w:r w:rsidR="00B64E44" w:rsidRPr="00B64E44">
        <w:t xml:space="preserve">has </w:t>
      </w:r>
      <w:r w:rsidR="00B220E0">
        <w:t>two</w:t>
      </w:r>
      <w:r w:rsidR="00B64E44" w:rsidRPr="00B64E44">
        <w:t xml:space="preserve"> additional recommendations:</w:t>
      </w:r>
    </w:p>
    <w:p w:rsidR="007817EE" w:rsidRPr="00B64E44" w:rsidRDefault="007817EE" w:rsidP="007817EE"/>
    <w:p w:rsidR="005633E2" w:rsidRPr="00B64E44" w:rsidRDefault="005633E2" w:rsidP="007817EE">
      <w:pPr>
        <w:pStyle w:val="ListParagraph"/>
        <w:numPr>
          <w:ilvl w:val="1"/>
          <w:numId w:val="22"/>
        </w:numPr>
      </w:pPr>
      <w:r w:rsidRPr="00B64E44">
        <w:t>Have readily available or contract out for quick access to durable medical equipment, medications, and other supplies potentially necessary fo</w:t>
      </w:r>
      <w:r w:rsidR="00B64E44">
        <w:t>r individuals with disabilities; and</w:t>
      </w:r>
      <w:r w:rsidRPr="00B64E44">
        <w:t xml:space="preserve"> </w:t>
      </w:r>
    </w:p>
    <w:p w:rsidR="005633E2" w:rsidRDefault="005633E2" w:rsidP="007817EE">
      <w:pPr>
        <w:pStyle w:val="ListParagraph"/>
        <w:numPr>
          <w:ilvl w:val="1"/>
          <w:numId w:val="22"/>
        </w:numPr>
      </w:pPr>
      <w:r w:rsidRPr="00B64E44">
        <w:t>Secure necessary personnel, vehicles, and tools for accessible evacuation and transportation</w:t>
      </w:r>
    </w:p>
    <w:p w:rsidR="007817EE" w:rsidRDefault="007817EE" w:rsidP="007817EE">
      <w:pPr>
        <w:pStyle w:val="ListParagraph"/>
        <w:ind w:left="1440"/>
      </w:pPr>
    </w:p>
    <w:p w:rsidR="00B64E44" w:rsidRPr="00B64E44" w:rsidRDefault="00FA3146" w:rsidP="007817EE">
      <w:r>
        <w:t>Finally, t</w:t>
      </w:r>
      <w:r w:rsidR="00B64E44">
        <w:t>he U.S. Department of Homeland Secu</w:t>
      </w:r>
      <w:r w:rsidR="00B220E0">
        <w:t>rity has developed a series of g</w:t>
      </w:r>
      <w:r w:rsidR="00B64E44">
        <w:t>uides on emergency planning for var</w:t>
      </w:r>
      <w:r w:rsidR="00B220E0">
        <w:t>ious stakeholders, including a g</w:t>
      </w:r>
      <w:r w:rsidR="00B64E44">
        <w:t xml:space="preserve">uide </w:t>
      </w:r>
      <w:r w:rsidR="00DA0F02">
        <w:t xml:space="preserve">specifically </w:t>
      </w:r>
      <w:r w:rsidR="00B64E44">
        <w:t xml:space="preserve">for people </w:t>
      </w:r>
      <w:r w:rsidR="00B220E0">
        <w:t>with disabilities that has step-by-</w:t>
      </w:r>
      <w:r w:rsidR="00B64E44">
        <w:t>step instructions on developing a personal emergency preparedness plan, as well as many practice tips.</w:t>
      </w:r>
      <w:r w:rsidR="005633E2">
        <w:rPr>
          <w:rStyle w:val="EndnoteReference"/>
          <w:bCs/>
          <w:iCs/>
        </w:rPr>
        <w:endnoteReference w:id="59"/>
      </w:r>
    </w:p>
    <w:p w:rsidR="00851B0E" w:rsidRPr="00EC38F2" w:rsidRDefault="00851B0E" w:rsidP="007817EE"/>
    <w:p w:rsidR="00EC38F2" w:rsidRDefault="005633E2" w:rsidP="007817EE">
      <w:pPr>
        <w:pStyle w:val="Heading2"/>
      </w:pPr>
      <w:r>
        <w:t>Conclusion</w:t>
      </w:r>
    </w:p>
    <w:p w:rsidR="007817EE" w:rsidRPr="007817EE" w:rsidRDefault="007817EE" w:rsidP="007817EE"/>
    <w:p w:rsidR="005633E2" w:rsidRPr="005633E2" w:rsidRDefault="005633E2" w:rsidP="007817EE">
      <w:r>
        <w:t xml:space="preserve">Although the ADA and its implementing regulations do not specifically address emergency preparedness, </w:t>
      </w:r>
      <w:r w:rsidR="007350EB">
        <w:t>courts have been unanimous</w:t>
      </w:r>
      <w:r>
        <w:t xml:space="preserve"> </w:t>
      </w:r>
      <w:r w:rsidR="007350EB">
        <w:t xml:space="preserve">in finding </w:t>
      </w:r>
      <w:r>
        <w:t xml:space="preserve">that </w:t>
      </w:r>
      <w:r w:rsidR="007350EB">
        <w:t>the ADA applies to emergency preparedness planning.  The court decisions, settlement agreements and subsequent federal guides provide a clear road map on how the needs of people with disabilities can be effectively incorporated into emergency preparedness plans.</w:t>
      </w:r>
    </w:p>
    <w:p w:rsidR="00EC38F2" w:rsidRPr="00045236" w:rsidRDefault="00EC38F2" w:rsidP="007817EE"/>
    <w:p w:rsidR="000A354C" w:rsidRDefault="000A354C" w:rsidP="007817EE"/>
    <w:p w:rsidR="000A354C" w:rsidRPr="00575948" w:rsidRDefault="000A354C" w:rsidP="007817EE"/>
    <w:p w:rsidR="00575948" w:rsidRPr="00575948" w:rsidRDefault="00575948" w:rsidP="007817EE">
      <w:pPr>
        <w:pStyle w:val="ListParagraph"/>
      </w:pPr>
    </w:p>
    <w:p w:rsidR="00DB215B" w:rsidRPr="00106F83" w:rsidRDefault="00DB215B" w:rsidP="007817EE"/>
    <w:p w:rsidR="00106F83" w:rsidRPr="00106F83" w:rsidRDefault="00106F83" w:rsidP="007817EE"/>
    <w:p w:rsidR="00A20879" w:rsidRPr="00A20879" w:rsidRDefault="00A20879" w:rsidP="007817EE"/>
    <w:p w:rsidR="00A20879" w:rsidRDefault="00A20879" w:rsidP="007817EE"/>
    <w:p w:rsidR="000E5D12" w:rsidRDefault="000E5D12" w:rsidP="007817EE"/>
    <w:sectPr w:rsidR="000E5D12" w:rsidSect="00F81B7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42A" w:rsidRDefault="00D5642A" w:rsidP="007817EE">
      <w:r>
        <w:separator/>
      </w:r>
    </w:p>
  </w:endnote>
  <w:endnote w:type="continuationSeparator" w:id="0">
    <w:p w:rsidR="00D5642A" w:rsidRDefault="00D5642A" w:rsidP="007817EE">
      <w:r>
        <w:continuationSeparator/>
      </w:r>
    </w:p>
  </w:endnote>
  <w:endnote w:id="1">
    <w:p w:rsidR="00F570EA" w:rsidRDefault="00F570EA" w:rsidP="007817EE">
      <w:pPr>
        <w:pStyle w:val="EndnoteText"/>
      </w:pPr>
      <w:r>
        <w:rPr>
          <w:rStyle w:val="EndnoteReference"/>
        </w:rPr>
        <w:endnoteRef/>
      </w:r>
      <w:r>
        <w:t xml:space="preserve"> This legal brief was written by Barry C. Taylor, Vice President of Systemic Litigation and Civil Rights at Equip for Equality, the Illinois Protection and Advocacy Agency (P&amp;A).</w:t>
      </w:r>
    </w:p>
  </w:endnote>
  <w:endnote w:id="2">
    <w:p w:rsidR="00F570EA" w:rsidRDefault="00F570EA" w:rsidP="007817EE">
      <w:pPr>
        <w:pStyle w:val="EndnoteText"/>
      </w:pPr>
      <w:r>
        <w:rPr>
          <w:rStyle w:val="EndnoteReference"/>
        </w:rPr>
        <w:endnoteRef/>
      </w:r>
      <w:r>
        <w:t xml:space="preserve"> 42 U.S.C. 12101 </w:t>
      </w:r>
      <w:r w:rsidRPr="000E5D12">
        <w:rPr>
          <w:i/>
        </w:rPr>
        <w:t>et seq</w:t>
      </w:r>
    </w:p>
  </w:endnote>
  <w:endnote w:id="3">
    <w:p w:rsidR="00F570EA" w:rsidRPr="00851B0E" w:rsidRDefault="00F570EA" w:rsidP="007A6276">
      <w:pPr>
        <w:pStyle w:val="NoSpacing"/>
      </w:pPr>
      <w:r w:rsidRPr="00415EE6">
        <w:rPr>
          <w:rStyle w:val="EndnoteReference"/>
          <w:rFonts w:cstheme="minorHAnsi"/>
          <w:sz w:val="20"/>
          <w:szCs w:val="20"/>
        </w:rPr>
        <w:endnoteRef/>
      </w:r>
      <w:r w:rsidRPr="00415EE6">
        <w:t xml:space="preserve"> </w:t>
      </w:r>
      <w:r w:rsidRPr="00851B0E">
        <w:t xml:space="preserve">For example, see “The Impact of Hurricanes Katrina and Rita on People with Disabilities: A Look Back and Remaining Challenges,” National Council on Disability, August 3, 2006 – the report can be found at: </w:t>
      </w:r>
      <w:hyperlink r:id="rId1" w:history="1">
        <w:r w:rsidRPr="007A6276">
          <w:rPr>
            <w:rStyle w:val="Hyperlink"/>
          </w:rPr>
          <w:t>www.ncd.gov/publications/2006/Aug072006</w:t>
        </w:r>
      </w:hyperlink>
      <w:r w:rsidR="007A6276">
        <w:t xml:space="preserve"> </w:t>
      </w:r>
    </w:p>
  </w:endnote>
  <w:endnote w:id="4">
    <w:p w:rsidR="00F570EA" w:rsidRDefault="00F570EA" w:rsidP="007817EE">
      <w:pPr>
        <w:pStyle w:val="EndnoteText"/>
      </w:pPr>
      <w:r>
        <w:rPr>
          <w:rStyle w:val="EndnoteReference"/>
        </w:rPr>
        <w:endnoteRef/>
      </w:r>
      <w:r>
        <w:t xml:space="preserve"> 42 U.S.C. 12101(b)(1)</w:t>
      </w:r>
    </w:p>
  </w:endnote>
  <w:endnote w:id="5">
    <w:p w:rsidR="00F570EA" w:rsidRPr="008B3A5F" w:rsidRDefault="00F570EA" w:rsidP="007817EE">
      <w:pPr>
        <w:pStyle w:val="EndnoteText"/>
      </w:pPr>
      <w:r>
        <w:rPr>
          <w:rStyle w:val="EndnoteReference"/>
        </w:rPr>
        <w:endnoteRef/>
      </w:r>
      <w:r>
        <w:t xml:space="preserve"> C07-04608</w:t>
      </w:r>
      <w:r>
        <w:rPr>
          <w:shd w:val="clear" w:color="auto" w:fill="FFFFFF"/>
        </w:rPr>
        <w:t xml:space="preserve"> (Alameda County Superior Court Aug. 9, 2007)</w:t>
      </w:r>
    </w:p>
  </w:endnote>
  <w:endnote w:id="6">
    <w:p w:rsidR="00F570EA" w:rsidRDefault="00F570EA" w:rsidP="007817EE">
      <w:pPr>
        <w:pStyle w:val="EndnoteText"/>
      </w:pPr>
      <w:r>
        <w:rPr>
          <w:rStyle w:val="EndnoteReference"/>
        </w:rPr>
        <w:endnoteRef/>
      </w:r>
      <w:r>
        <w:t xml:space="preserve"> 29 U.S.C. 794</w:t>
      </w:r>
    </w:p>
  </w:endnote>
  <w:endnote w:id="7">
    <w:p w:rsidR="00F570EA" w:rsidRDefault="00F570EA" w:rsidP="007817EE">
      <w:pPr>
        <w:pStyle w:val="EndnoteText"/>
      </w:pPr>
      <w:r>
        <w:rPr>
          <w:rStyle w:val="EndnoteReference"/>
        </w:rPr>
        <w:endnoteRef/>
      </w:r>
      <w:r>
        <w:t xml:space="preserve"> </w:t>
      </w:r>
      <w:r w:rsidRPr="001F26ED">
        <w:t xml:space="preserve">Copies of the Complaint, Settlement Agreement and Plan Annex can be found at: </w:t>
      </w:r>
      <w:hyperlink r:id="rId2" w:history="1">
        <w:r w:rsidRPr="001F26ED">
          <w:rPr>
            <w:rStyle w:val="Hyperlink"/>
          </w:rPr>
          <w:t>http://dralegal.org/case/california-foundation-for-independent-living-centers-cfilc-et-al-v-city-of-oakland-et-al/</w:t>
        </w:r>
      </w:hyperlink>
    </w:p>
  </w:endnote>
  <w:endnote w:id="8">
    <w:p w:rsidR="00F570EA" w:rsidRDefault="00F570EA" w:rsidP="007817EE">
      <w:pPr>
        <w:pStyle w:val="EndnoteText"/>
      </w:pPr>
      <w:r>
        <w:rPr>
          <w:rStyle w:val="EndnoteReference"/>
        </w:rPr>
        <w:endnoteRef/>
      </w:r>
      <w:r>
        <w:t xml:space="preserve"> 2:09-cv-00287 CBM RZ (C.D. Cal. Jan. 14, 2009)</w:t>
      </w:r>
    </w:p>
  </w:endnote>
  <w:endnote w:id="9">
    <w:p w:rsidR="0051072B" w:rsidRDefault="0051072B" w:rsidP="007817EE">
      <w:pPr>
        <w:pStyle w:val="EndnoteText"/>
      </w:pPr>
      <w:r>
        <w:rPr>
          <w:rStyle w:val="EndnoteReference"/>
        </w:rPr>
        <w:endnoteRef/>
      </w:r>
      <w:r>
        <w:t xml:space="preserve"> </w:t>
      </w:r>
      <w:hyperlink r:id="rId3" w:history="1">
        <w:r w:rsidRPr="00D9518F">
          <w:rPr>
            <w:rStyle w:val="Hyperlink"/>
          </w:rPr>
          <w:t>https://www.ada.gov/briefs/calif_interest_br.pdf</w:t>
        </w:r>
      </w:hyperlink>
      <w:r w:rsidRPr="00D9518F">
        <w:t xml:space="preserve"> </w:t>
      </w:r>
    </w:p>
  </w:endnote>
  <w:endnote w:id="10">
    <w:p w:rsidR="00F570EA" w:rsidRDefault="00F570EA" w:rsidP="007817EE">
      <w:pPr>
        <w:pStyle w:val="EndnoteText"/>
      </w:pPr>
      <w:r>
        <w:rPr>
          <w:rStyle w:val="EndnoteReference"/>
        </w:rPr>
        <w:endnoteRef/>
      </w:r>
      <w:r>
        <w:t xml:space="preserve"> </w:t>
      </w:r>
      <w:r w:rsidRPr="003F2780">
        <w:t>2011 WL 4595993</w:t>
      </w:r>
      <w:r w:rsidR="00707BC8">
        <w:t xml:space="preserve"> (C.D. Cal. Feb. 10, 2011)</w:t>
      </w:r>
    </w:p>
  </w:endnote>
  <w:endnote w:id="11">
    <w:p w:rsidR="00F570EA" w:rsidRPr="00135439" w:rsidRDefault="00F570EA" w:rsidP="007817EE">
      <w:pPr>
        <w:pStyle w:val="EndnoteText"/>
      </w:pPr>
      <w:r>
        <w:rPr>
          <w:rStyle w:val="EndnoteReference"/>
        </w:rPr>
        <w:endnoteRef/>
      </w:r>
      <w:r>
        <w:t xml:space="preserve"> </w:t>
      </w:r>
      <w:r>
        <w:rPr>
          <w:i/>
        </w:rPr>
        <w:t>Id.</w:t>
      </w:r>
      <w:r>
        <w:t xml:space="preserve"> at *13</w:t>
      </w:r>
    </w:p>
  </w:endnote>
  <w:endnote w:id="12">
    <w:p w:rsidR="00F570EA" w:rsidRPr="00135439" w:rsidRDefault="00F570EA" w:rsidP="007817EE">
      <w:pPr>
        <w:pStyle w:val="EndnoteText"/>
      </w:pPr>
      <w:r>
        <w:rPr>
          <w:rStyle w:val="EndnoteReference"/>
        </w:rPr>
        <w:endnoteRef/>
      </w:r>
      <w:r>
        <w:t xml:space="preserve"> Id. </w:t>
      </w:r>
    </w:p>
  </w:endnote>
  <w:endnote w:id="13">
    <w:p w:rsidR="00F570EA" w:rsidRDefault="00F570EA" w:rsidP="007817EE">
      <w:pPr>
        <w:pStyle w:val="EndnoteText"/>
      </w:pPr>
      <w:r>
        <w:rPr>
          <w:rStyle w:val="EndnoteReference"/>
        </w:rPr>
        <w:endnoteRef/>
      </w:r>
      <w:r>
        <w:t xml:space="preserve"> </w:t>
      </w:r>
      <w:r w:rsidRPr="00FB3AF2">
        <w:rPr>
          <w:i/>
        </w:rPr>
        <w:t>Id.</w:t>
      </w:r>
      <w:r>
        <w:t xml:space="preserve"> at *3</w:t>
      </w:r>
    </w:p>
  </w:endnote>
  <w:endnote w:id="14">
    <w:p w:rsidR="00F570EA" w:rsidRPr="008E45E8" w:rsidRDefault="00F570EA" w:rsidP="007817EE">
      <w:pPr>
        <w:pStyle w:val="EndnoteText"/>
      </w:pPr>
      <w:r>
        <w:rPr>
          <w:rStyle w:val="EndnoteReference"/>
        </w:rPr>
        <w:endnoteRef/>
      </w:r>
      <w:r>
        <w:t xml:space="preserve"> Id.</w:t>
      </w:r>
    </w:p>
  </w:endnote>
  <w:endnote w:id="15">
    <w:p w:rsidR="00F570EA" w:rsidRPr="00664EC6" w:rsidRDefault="00F570EA" w:rsidP="007817EE">
      <w:pPr>
        <w:pStyle w:val="EndnoteText"/>
      </w:pPr>
      <w:r>
        <w:rPr>
          <w:rStyle w:val="EndnoteReference"/>
        </w:rPr>
        <w:endnoteRef/>
      </w:r>
      <w:r>
        <w:t xml:space="preserve"> </w:t>
      </w:r>
      <w:r>
        <w:rPr>
          <w:i/>
        </w:rPr>
        <w:t xml:space="preserve">Id. </w:t>
      </w:r>
      <w:r>
        <w:t>at *14</w:t>
      </w:r>
    </w:p>
  </w:endnote>
  <w:endnote w:id="16">
    <w:p w:rsidR="00F570EA" w:rsidRPr="00611BEE" w:rsidRDefault="00F570EA" w:rsidP="007817EE">
      <w:pPr>
        <w:pStyle w:val="EndnoteText"/>
      </w:pPr>
      <w:r>
        <w:rPr>
          <w:rStyle w:val="EndnoteReference"/>
        </w:rPr>
        <w:endnoteRef/>
      </w:r>
      <w:r>
        <w:t xml:space="preserve"> Id.</w:t>
      </w:r>
    </w:p>
  </w:endnote>
  <w:endnote w:id="17">
    <w:p w:rsidR="00F570EA" w:rsidRDefault="00F570EA" w:rsidP="007817EE">
      <w:pPr>
        <w:pStyle w:val="EndnoteText"/>
      </w:pPr>
      <w:r>
        <w:rPr>
          <w:rStyle w:val="EndnoteReference"/>
        </w:rPr>
        <w:endnoteRef/>
      </w:r>
      <w:r>
        <w:t xml:space="preserve"> Copies of the court’s summary adjudication, injunctive order and settlement agreement with the County can all be found at: </w:t>
      </w:r>
      <w:hyperlink r:id="rId4" w:anchor="files" w:history="1">
        <w:r w:rsidRPr="000E2491">
          <w:rPr>
            <w:rStyle w:val="Hyperlink"/>
          </w:rPr>
          <w:t>http://dralegal.org/case/communities-actively-living-independent-and-free-calif-et-al-v-city-of-los-angeles/#files</w:t>
        </w:r>
      </w:hyperlink>
    </w:p>
  </w:endnote>
  <w:endnote w:id="18">
    <w:p w:rsidR="00F570EA" w:rsidRDefault="00F570EA" w:rsidP="007817EE">
      <w:pPr>
        <w:pStyle w:val="EndnoteText"/>
      </w:pPr>
      <w:r>
        <w:rPr>
          <w:rStyle w:val="EndnoteReference"/>
        </w:rPr>
        <w:endnoteRef/>
      </w:r>
      <w:r>
        <w:t xml:space="preserve"> 11 CIV 6690 (S.D.N.Y. Sept. 26, 2011)</w:t>
      </w:r>
    </w:p>
  </w:endnote>
  <w:endnote w:id="19">
    <w:p w:rsidR="00F570EA" w:rsidRDefault="00F570EA" w:rsidP="007817EE">
      <w:pPr>
        <w:pStyle w:val="EndnoteText"/>
      </w:pPr>
      <w:r>
        <w:rPr>
          <w:rStyle w:val="EndnoteReference"/>
        </w:rPr>
        <w:endnoteRef/>
      </w:r>
      <w:r>
        <w:t xml:space="preserve"> </w:t>
      </w:r>
      <w:r w:rsidRPr="00FE2052">
        <w:t>980 F.Supp.2d 588 (S.D.N.Y. 2013)</w:t>
      </w:r>
    </w:p>
  </w:endnote>
  <w:endnote w:id="20">
    <w:p w:rsidR="00F570EA" w:rsidRPr="00A148A8" w:rsidRDefault="00F570EA" w:rsidP="007817EE">
      <w:pPr>
        <w:pStyle w:val="EndnoteText"/>
      </w:pPr>
      <w:r>
        <w:rPr>
          <w:rStyle w:val="EndnoteReference"/>
        </w:rPr>
        <w:endnoteRef/>
      </w:r>
      <w:r>
        <w:t xml:space="preserve"> </w:t>
      </w:r>
      <w:r>
        <w:rPr>
          <w:i/>
        </w:rPr>
        <w:t xml:space="preserve">Id. </w:t>
      </w:r>
      <w:r>
        <w:t>at 644-646</w:t>
      </w:r>
    </w:p>
  </w:endnote>
  <w:endnote w:id="21">
    <w:p w:rsidR="00F570EA" w:rsidRPr="00A148A8" w:rsidRDefault="00F570EA" w:rsidP="007817EE">
      <w:pPr>
        <w:pStyle w:val="EndnoteText"/>
      </w:pPr>
      <w:r>
        <w:rPr>
          <w:rStyle w:val="EndnoteReference"/>
        </w:rPr>
        <w:endnoteRef/>
      </w:r>
      <w:r>
        <w:t xml:space="preserve"> </w:t>
      </w:r>
      <w:r>
        <w:rPr>
          <w:i/>
        </w:rPr>
        <w:t xml:space="preserve">Id. </w:t>
      </w:r>
      <w:r>
        <w:t>at 646-650</w:t>
      </w:r>
    </w:p>
  </w:endnote>
  <w:endnote w:id="22">
    <w:p w:rsidR="00F570EA" w:rsidRPr="00B11ED1" w:rsidRDefault="00F570EA" w:rsidP="007817EE">
      <w:pPr>
        <w:pStyle w:val="EndnoteText"/>
        <w:rPr>
          <w:i/>
        </w:rPr>
      </w:pPr>
      <w:r>
        <w:rPr>
          <w:rStyle w:val="EndnoteReference"/>
        </w:rPr>
        <w:endnoteRef/>
      </w:r>
      <w:r>
        <w:t xml:space="preserve"> </w:t>
      </w:r>
      <w:r>
        <w:rPr>
          <w:i/>
        </w:rPr>
        <w:t xml:space="preserve">Id. </w:t>
      </w:r>
      <w:r w:rsidRPr="00B11ED1">
        <w:t>at 652</w:t>
      </w:r>
    </w:p>
  </w:endnote>
  <w:endnote w:id="23">
    <w:p w:rsidR="00F570EA" w:rsidRPr="00A92CED" w:rsidRDefault="00F570EA" w:rsidP="007817EE">
      <w:pPr>
        <w:pStyle w:val="EndnoteText"/>
      </w:pPr>
      <w:r>
        <w:rPr>
          <w:rStyle w:val="EndnoteReference"/>
        </w:rPr>
        <w:endnoteRef/>
      </w:r>
      <w:r>
        <w:t xml:space="preserve"> </w:t>
      </w:r>
      <w:r>
        <w:rPr>
          <w:i/>
        </w:rPr>
        <w:t>Id.</w:t>
      </w:r>
      <w:r>
        <w:t xml:space="preserve"> at 654-655</w:t>
      </w:r>
    </w:p>
  </w:endnote>
  <w:endnote w:id="24">
    <w:p w:rsidR="00F570EA" w:rsidRDefault="00F570EA" w:rsidP="007817EE">
      <w:pPr>
        <w:pStyle w:val="EndnoteText"/>
      </w:pPr>
      <w:r>
        <w:rPr>
          <w:rStyle w:val="EndnoteReference"/>
        </w:rPr>
        <w:endnoteRef/>
      </w:r>
      <w:r>
        <w:t xml:space="preserve"> </w:t>
      </w:r>
      <w:r w:rsidRPr="00652ED7">
        <w:rPr>
          <w:i/>
        </w:rPr>
        <w:t>Id.</w:t>
      </w:r>
      <w:r>
        <w:t xml:space="preserve"> at 655-656</w:t>
      </w:r>
    </w:p>
  </w:endnote>
  <w:endnote w:id="25">
    <w:p w:rsidR="00F570EA" w:rsidRPr="00BB3A4D" w:rsidRDefault="00F570EA" w:rsidP="007817EE">
      <w:pPr>
        <w:pStyle w:val="EndnoteText"/>
      </w:pPr>
      <w:r>
        <w:rPr>
          <w:rStyle w:val="EndnoteReference"/>
        </w:rPr>
        <w:endnoteRef/>
      </w:r>
      <w:r>
        <w:t xml:space="preserve"> </w:t>
      </w:r>
      <w:r>
        <w:rPr>
          <w:i/>
        </w:rPr>
        <w:t xml:space="preserve">Id. </w:t>
      </w:r>
      <w:r>
        <w:t>at 606</w:t>
      </w:r>
    </w:p>
  </w:endnote>
  <w:endnote w:id="26">
    <w:p w:rsidR="00F570EA" w:rsidRPr="00EF33AF" w:rsidRDefault="00F570EA" w:rsidP="007817EE">
      <w:pPr>
        <w:pStyle w:val="EndnoteText"/>
      </w:pPr>
      <w:r>
        <w:rPr>
          <w:rStyle w:val="EndnoteReference"/>
        </w:rPr>
        <w:endnoteRef/>
      </w:r>
      <w:r>
        <w:t xml:space="preserve"> </w:t>
      </w:r>
      <w:r>
        <w:rPr>
          <w:i/>
        </w:rPr>
        <w:t>Id.</w:t>
      </w:r>
      <w:r>
        <w:t xml:space="preserve"> at 599</w:t>
      </w:r>
    </w:p>
  </w:endnote>
  <w:endnote w:id="27">
    <w:p w:rsidR="00F570EA" w:rsidRPr="00E00271" w:rsidRDefault="00F570EA" w:rsidP="007817EE">
      <w:pPr>
        <w:pStyle w:val="EndnoteText"/>
      </w:pPr>
      <w:r>
        <w:rPr>
          <w:rStyle w:val="EndnoteReference"/>
        </w:rPr>
        <w:endnoteRef/>
      </w:r>
      <w:r>
        <w:t xml:space="preserve"> </w:t>
      </w:r>
      <w:r>
        <w:rPr>
          <w:i/>
        </w:rPr>
        <w:t>Id.</w:t>
      </w:r>
      <w:r>
        <w:t xml:space="preserve"> at 600-601</w:t>
      </w:r>
    </w:p>
  </w:endnote>
  <w:endnote w:id="28">
    <w:p w:rsidR="00F570EA" w:rsidRPr="009D7D54" w:rsidRDefault="00F570EA" w:rsidP="007817EE">
      <w:pPr>
        <w:pStyle w:val="EndnoteText"/>
      </w:pPr>
      <w:r>
        <w:rPr>
          <w:rStyle w:val="EndnoteReference"/>
        </w:rPr>
        <w:endnoteRef/>
      </w:r>
      <w:r>
        <w:t xml:space="preserve"> </w:t>
      </w:r>
      <w:r>
        <w:rPr>
          <w:i/>
        </w:rPr>
        <w:t xml:space="preserve">Id. </w:t>
      </w:r>
      <w:r>
        <w:t xml:space="preserve"> at 600</w:t>
      </w:r>
    </w:p>
  </w:endnote>
  <w:endnote w:id="29">
    <w:p w:rsidR="00F570EA" w:rsidRPr="000713D3" w:rsidRDefault="00F570EA" w:rsidP="007817EE">
      <w:pPr>
        <w:pStyle w:val="EndnoteText"/>
      </w:pPr>
      <w:r>
        <w:rPr>
          <w:rStyle w:val="EndnoteReference"/>
        </w:rPr>
        <w:endnoteRef/>
      </w:r>
      <w:r>
        <w:t xml:space="preserve"> </w:t>
      </w:r>
      <w:r>
        <w:rPr>
          <w:i/>
        </w:rPr>
        <w:t xml:space="preserve">Id. </w:t>
      </w:r>
      <w:r>
        <w:t>at 603</w:t>
      </w:r>
    </w:p>
  </w:endnote>
  <w:endnote w:id="30">
    <w:p w:rsidR="00F570EA" w:rsidRPr="00AC3175" w:rsidRDefault="00F570EA" w:rsidP="007817EE">
      <w:pPr>
        <w:pStyle w:val="EndnoteText"/>
      </w:pPr>
      <w:r>
        <w:rPr>
          <w:rStyle w:val="EndnoteReference"/>
        </w:rPr>
        <w:endnoteRef/>
      </w:r>
      <w:r>
        <w:t xml:space="preserve"> </w:t>
      </w:r>
      <w:hyperlink r:id="rId5" w:history="1">
        <w:r w:rsidRPr="000E2491">
          <w:rPr>
            <w:rStyle w:val="Hyperlink"/>
            <w:bCs/>
          </w:rPr>
          <w:t>www.ada.gov/brooklyn-cil-brief.doc</w:t>
        </w:r>
      </w:hyperlink>
    </w:p>
  </w:endnote>
  <w:endnote w:id="31">
    <w:p w:rsidR="00F570EA" w:rsidRDefault="00F570EA" w:rsidP="007817EE">
      <w:pPr>
        <w:pStyle w:val="EndnoteText"/>
      </w:pPr>
      <w:r w:rsidRPr="00AC3175">
        <w:rPr>
          <w:rStyle w:val="EndnoteReference"/>
        </w:rPr>
        <w:endnoteRef/>
      </w:r>
      <w:r w:rsidRPr="00AC3175">
        <w:t xml:space="preserve"> </w:t>
      </w:r>
      <w:r>
        <w:t xml:space="preserve">The Settlement Agreement, along with the Complaint, court opinion and order and DOJ brief can all be found at:  </w:t>
      </w:r>
      <w:hyperlink r:id="rId6" w:anchor="files" w:history="1">
        <w:r w:rsidRPr="000E2491">
          <w:rPr>
            <w:rStyle w:val="Hyperlink"/>
            <w:bCs/>
          </w:rPr>
          <w:t>http://dralegal.org/case/brooklyn-center-for-independence-of-the-disabled-bcid-et-al-v-mayor-bloomberg-et-al/#files</w:t>
        </w:r>
      </w:hyperlink>
    </w:p>
  </w:endnote>
  <w:endnote w:id="32">
    <w:p w:rsidR="00F570EA" w:rsidRDefault="00F570EA" w:rsidP="007817EE">
      <w:pPr>
        <w:pStyle w:val="EndnoteText"/>
      </w:pPr>
      <w:r>
        <w:rPr>
          <w:rStyle w:val="EndnoteReference"/>
        </w:rPr>
        <w:endnoteRef/>
      </w:r>
      <w:r>
        <w:t xml:space="preserve"> 1:14 cv-01528 (D.D.C. </w:t>
      </w:r>
      <w:r w:rsidRPr="00126EF3">
        <w:t xml:space="preserve">Sept. 9, 2014) </w:t>
      </w:r>
    </w:p>
  </w:endnote>
  <w:endnote w:id="33">
    <w:p w:rsidR="00F570EA" w:rsidRDefault="00F570EA" w:rsidP="007817EE">
      <w:pPr>
        <w:pStyle w:val="EndnoteText"/>
      </w:pPr>
      <w:r>
        <w:rPr>
          <w:rStyle w:val="EndnoteReference"/>
        </w:rPr>
        <w:endnoteRef/>
      </w:r>
      <w:r>
        <w:t xml:space="preserve"> The Complaint can be found at: </w:t>
      </w:r>
      <w:hyperlink r:id="rId7" w:anchor="files" w:history="1">
        <w:r w:rsidRPr="000E2491">
          <w:rPr>
            <w:rStyle w:val="Hyperlink"/>
          </w:rPr>
          <w:t>http://dralegal.org/case/d-c-center-independent-living-et-al-v-district-columbia/#files</w:t>
        </w:r>
      </w:hyperlink>
    </w:p>
  </w:endnote>
  <w:endnote w:id="34">
    <w:p w:rsidR="00F570EA" w:rsidRDefault="00F570EA" w:rsidP="007817EE">
      <w:pPr>
        <w:pStyle w:val="EndnoteText"/>
      </w:pPr>
      <w:r>
        <w:rPr>
          <w:rStyle w:val="EndnoteReference"/>
        </w:rPr>
        <w:endnoteRef/>
      </w:r>
      <w:r>
        <w:t xml:space="preserve"> 2:12-cv-03056-KJM-GGH (E.D. Cal. Dec. 20, 2012)</w:t>
      </w:r>
    </w:p>
  </w:endnote>
  <w:endnote w:id="35">
    <w:p w:rsidR="00F570EA" w:rsidRDefault="00F570EA" w:rsidP="007817EE">
      <w:pPr>
        <w:pStyle w:val="EndnoteText"/>
      </w:pPr>
      <w:r>
        <w:rPr>
          <w:rStyle w:val="EndnoteReference"/>
        </w:rPr>
        <w:endnoteRef/>
      </w:r>
      <w:r>
        <w:t xml:space="preserve"> </w:t>
      </w:r>
      <w:r w:rsidRPr="003706EA">
        <w:t>142 F. Supp. 3d 1035 (E.D. Cal. 2015)</w:t>
      </w:r>
    </w:p>
  </w:endnote>
  <w:endnote w:id="36">
    <w:p w:rsidR="00F570EA" w:rsidRPr="007A73EC" w:rsidRDefault="00F570EA" w:rsidP="007817EE">
      <w:pPr>
        <w:pStyle w:val="EndnoteText"/>
      </w:pPr>
      <w:r>
        <w:rPr>
          <w:rStyle w:val="EndnoteReference"/>
        </w:rPr>
        <w:endnoteRef/>
      </w:r>
      <w:r>
        <w:t xml:space="preserve"> 2:16-cv-00384-JJT (D. Az. Feb. 11, 2016) </w:t>
      </w:r>
    </w:p>
  </w:endnote>
  <w:endnote w:id="37">
    <w:p w:rsidR="00F570EA" w:rsidRPr="00106039" w:rsidRDefault="00F570EA" w:rsidP="007817EE">
      <w:pPr>
        <w:pStyle w:val="EndnoteText"/>
      </w:pPr>
      <w:r>
        <w:rPr>
          <w:rStyle w:val="EndnoteReference"/>
        </w:rPr>
        <w:endnoteRef/>
      </w:r>
      <w:r>
        <w:t xml:space="preserve"> A TTY is a </w:t>
      </w:r>
      <w:r w:rsidRPr="00106039">
        <w:t>device that lets people who are deaf, hard of hearing, or speech-impaired use the telephone to communicate, by allowing them to type messages back and forth to one another instead of talking and listening. A TTY is required at both ends of the conversation in order to communicate.</w:t>
      </w:r>
    </w:p>
  </w:endnote>
  <w:endnote w:id="38">
    <w:p w:rsidR="00F570EA" w:rsidRDefault="00F570EA" w:rsidP="007817EE">
      <w:pPr>
        <w:pStyle w:val="EndnoteText"/>
      </w:pPr>
      <w:r>
        <w:rPr>
          <w:rStyle w:val="EndnoteReference"/>
        </w:rPr>
        <w:endnoteRef/>
      </w:r>
      <w:r>
        <w:t xml:space="preserve"> </w:t>
      </w:r>
      <w:r w:rsidRPr="006F2E8A">
        <w:rPr>
          <w:shd w:val="clear" w:color="auto" w:fill="FFFFFF"/>
        </w:rPr>
        <w:t xml:space="preserve">TRS uses operators, called communications assistants (CAs), to facilitate telephone calls between people with hearing and speech disabilities and other individuals. A TRS call may be initiated by either a person with a hearing or speech disability, or a person without such disability. When a person with a hearing or speech disability initiates a TRS call, the person uses a </w:t>
      </w:r>
      <w:r>
        <w:rPr>
          <w:shd w:val="clear" w:color="auto" w:fill="FFFFFF"/>
        </w:rPr>
        <w:t>TTY</w:t>
      </w:r>
      <w:r w:rsidRPr="006F2E8A">
        <w:rPr>
          <w:shd w:val="clear" w:color="auto" w:fill="FFFFFF"/>
        </w:rPr>
        <w:t xml:space="preserve"> to call the TRS relay center, and gives a CA the number of the party that he or she wants to call. The CA places an outbound traditional voice call to that person, then serves as a link for the call, relaying the text of the calling party in voice to the called party, and converting to text what the called party voices back to the calling party</w:t>
      </w:r>
      <w:r>
        <w:rPr>
          <w:rFonts w:ascii="Helvetica" w:hAnsi="Helvetica"/>
          <w:sz w:val="13"/>
          <w:szCs w:val="13"/>
          <w:shd w:val="clear" w:color="auto" w:fill="FFFFFF"/>
        </w:rPr>
        <w:t>.</w:t>
      </w:r>
    </w:p>
  </w:endnote>
  <w:endnote w:id="39">
    <w:p w:rsidR="00F570EA" w:rsidRDefault="00F570EA" w:rsidP="007817EE">
      <w:pPr>
        <w:pStyle w:val="EndnoteText"/>
      </w:pPr>
      <w:r w:rsidRPr="007A73EC">
        <w:rPr>
          <w:rStyle w:val="EndnoteReference"/>
        </w:rPr>
        <w:endnoteRef/>
      </w:r>
      <w:r w:rsidRPr="007A73EC">
        <w:t xml:space="preserve"> 2017 WL 553039 (D. Az. Feb. 10, 2017)</w:t>
      </w:r>
    </w:p>
  </w:endnote>
  <w:endnote w:id="40">
    <w:p w:rsidR="00F570EA" w:rsidRPr="00D73C0C" w:rsidRDefault="00F570EA" w:rsidP="007817EE">
      <w:pPr>
        <w:pStyle w:val="EndnoteText"/>
      </w:pPr>
      <w:r>
        <w:rPr>
          <w:rStyle w:val="EndnoteReference"/>
        </w:rPr>
        <w:endnoteRef/>
      </w:r>
      <w:r>
        <w:t xml:space="preserve"> </w:t>
      </w:r>
      <w:r>
        <w:rPr>
          <w:i/>
        </w:rPr>
        <w:t>Id.</w:t>
      </w:r>
      <w:r>
        <w:t xml:space="preserve"> at*3</w:t>
      </w:r>
    </w:p>
  </w:endnote>
  <w:endnote w:id="41">
    <w:p w:rsidR="00F570EA" w:rsidRPr="00DB0F22" w:rsidRDefault="00F570EA" w:rsidP="007817EE">
      <w:pPr>
        <w:pStyle w:val="EndnoteText"/>
      </w:pPr>
      <w:r>
        <w:rPr>
          <w:rStyle w:val="EndnoteReference"/>
        </w:rPr>
        <w:endnoteRef/>
      </w:r>
      <w:r>
        <w:t xml:space="preserve"> </w:t>
      </w:r>
      <w:r>
        <w:rPr>
          <w:i/>
        </w:rPr>
        <w:t xml:space="preserve">Id. </w:t>
      </w:r>
      <w:r>
        <w:t>at *4-5</w:t>
      </w:r>
    </w:p>
  </w:endnote>
  <w:endnote w:id="42">
    <w:p w:rsidR="00F570EA" w:rsidRPr="00493732" w:rsidRDefault="00F570EA" w:rsidP="007817EE">
      <w:pPr>
        <w:pStyle w:val="EndnoteText"/>
      </w:pPr>
      <w:r>
        <w:rPr>
          <w:rStyle w:val="EndnoteReference"/>
        </w:rPr>
        <w:endnoteRef/>
      </w:r>
      <w:r>
        <w:t xml:space="preserve"> </w:t>
      </w:r>
      <w:r>
        <w:rPr>
          <w:i/>
        </w:rPr>
        <w:t xml:space="preserve">Id. </w:t>
      </w:r>
      <w:r>
        <w:t>at *5</w:t>
      </w:r>
    </w:p>
  </w:endnote>
  <w:endnote w:id="43">
    <w:p w:rsidR="00F570EA" w:rsidRDefault="00F570EA" w:rsidP="007817EE">
      <w:pPr>
        <w:pStyle w:val="EndnoteText"/>
      </w:pPr>
      <w:r>
        <w:rPr>
          <w:rStyle w:val="EndnoteReference"/>
        </w:rPr>
        <w:endnoteRef/>
      </w:r>
      <w:r>
        <w:t xml:space="preserve"> 625 F.3d 494 (8</w:t>
      </w:r>
      <w:r w:rsidRPr="00CC3655">
        <w:rPr>
          <w:vertAlign w:val="superscript"/>
        </w:rPr>
        <w:t>th</w:t>
      </w:r>
      <w:r>
        <w:t xml:space="preserve"> Cir. 2010)</w:t>
      </w:r>
    </w:p>
    <w:p w:rsidR="00F81B76" w:rsidRDefault="00F81B76" w:rsidP="007817EE">
      <w:pPr>
        <w:pStyle w:val="EndnoteText"/>
      </w:pPr>
    </w:p>
  </w:endnote>
  <w:endnote w:id="44">
    <w:p w:rsidR="00F570EA" w:rsidRPr="00CC3655" w:rsidRDefault="00F570EA" w:rsidP="007817EE">
      <w:pPr>
        <w:pStyle w:val="EndnoteText"/>
      </w:pPr>
      <w:r>
        <w:rPr>
          <w:rStyle w:val="EndnoteReference"/>
        </w:rPr>
        <w:endnoteRef/>
      </w:r>
      <w:r>
        <w:t xml:space="preserve"> </w:t>
      </w:r>
      <w:r>
        <w:rPr>
          <w:i/>
        </w:rPr>
        <w:t xml:space="preserve">Id. </w:t>
      </w:r>
      <w:r>
        <w:t>at 498</w:t>
      </w:r>
    </w:p>
  </w:endnote>
  <w:endnote w:id="45">
    <w:p w:rsidR="00F570EA" w:rsidRPr="00CC3655" w:rsidRDefault="00F570EA" w:rsidP="007817EE">
      <w:pPr>
        <w:pStyle w:val="EndnoteText"/>
      </w:pPr>
      <w:r>
        <w:rPr>
          <w:rStyle w:val="EndnoteReference"/>
        </w:rPr>
        <w:endnoteRef/>
      </w:r>
      <w:r>
        <w:t xml:space="preserve"> </w:t>
      </w:r>
      <w:r>
        <w:rPr>
          <w:i/>
        </w:rPr>
        <w:t xml:space="preserve">Id. </w:t>
      </w:r>
      <w:r>
        <w:t>at 498-501</w:t>
      </w:r>
    </w:p>
  </w:endnote>
  <w:endnote w:id="46">
    <w:p w:rsidR="00F570EA" w:rsidRPr="004300DD" w:rsidRDefault="00F570EA" w:rsidP="007A6276">
      <w:pPr>
        <w:pStyle w:val="NoSpacing"/>
        <w:rPr>
          <w:b/>
        </w:rPr>
      </w:pPr>
      <w:r w:rsidRPr="004300DD">
        <w:rPr>
          <w:rStyle w:val="EndnoteReference"/>
          <w:sz w:val="20"/>
          <w:szCs w:val="20"/>
        </w:rPr>
        <w:endnoteRef/>
      </w:r>
      <w:r>
        <w:t xml:space="preserve"> </w:t>
      </w:r>
      <w:r w:rsidRPr="004300DD">
        <w:t>See e.g. F.B.I. Confirms a Sharp Rise in Mass Shootings Since 2000</w:t>
      </w:r>
      <w:r>
        <w:t xml:space="preserve">, New York Times, Sept. 24, 2014 at </w:t>
      </w:r>
      <w:hyperlink r:id="rId8" w:history="1">
        <w:r w:rsidRPr="00B1147C">
          <w:rPr>
            <w:rStyle w:val="Hyperlink"/>
            <w:sz w:val="20"/>
            <w:szCs w:val="20"/>
          </w:rPr>
          <w:t>www.nytimes.com/2014/09/25/us/25shooters.html</w:t>
        </w:r>
      </w:hyperlink>
    </w:p>
  </w:endnote>
  <w:endnote w:id="47">
    <w:p w:rsidR="00AB484F" w:rsidRDefault="00AB484F" w:rsidP="007817EE">
      <w:pPr>
        <w:pStyle w:val="EndnoteText"/>
      </w:pPr>
      <w:r>
        <w:rPr>
          <w:rStyle w:val="EndnoteReference"/>
        </w:rPr>
        <w:endnoteRef/>
      </w:r>
      <w:r>
        <w:t xml:space="preserve"> 1:98-cv-00313-JCC(E.D. Va. Mar. 6, 1998)</w:t>
      </w:r>
    </w:p>
  </w:endnote>
  <w:endnote w:id="48">
    <w:p w:rsidR="00F570EA" w:rsidRPr="00C87F7F" w:rsidRDefault="00F570EA" w:rsidP="007817EE">
      <w:pPr>
        <w:pStyle w:val="EndnoteText"/>
      </w:pPr>
      <w:r>
        <w:rPr>
          <w:rStyle w:val="EndnoteReference"/>
        </w:rPr>
        <w:endnoteRef/>
      </w:r>
      <w:r>
        <w:t xml:space="preserve"> </w:t>
      </w:r>
      <w:r w:rsidRPr="00C87F7F">
        <w:t>2000 WL 1198054 (4</w:t>
      </w:r>
      <w:r w:rsidRPr="00C87F7F">
        <w:rPr>
          <w:vertAlign w:val="superscript"/>
        </w:rPr>
        <w:t>th</w:t>
      </w:r>
      <w:r w:rsidRPr="00C87F7F">
        <w:t xml:space="preserve"> Cir. Aug. 23, 2000)</w:t>
      </w:r>
    </w:p>
  </w:endnote>
  <w:endnote w:id="49">
    <w:p w:rsidR="00F570EA" w:rsidRPr="007A6276" w:rsidRDefault="00F570EA" w:rsidP="007A6276">
      <w:pPr>
        <w:pStyle w:val="NoSpacing"/>
      </w:pPr>
      <w:r w:rsidRPr="00C87F7F">
        <w:rPr>
          <w:rStyle w:val="EndnoteReference"/>
        </w:rPr>
        <w:endnoteRef/>
      </w:r>
      <w:r w:rsidRPr="00C87F7F">
        <w:t xml:space="preserve"> </w:t>
      </w:r>
      <w:r w:rsidRPr="007A6276">
        <w:t>Id. at *5-6</w:t>
      </w:r>
    </w:p>
  </w:endnote>
  <w:endnote w:id="50">
    <w:p w:rsidR="00F570EA" w:rsidRPr="00C87F7F" w:rsidRDefault="00F570EA" w:rsidP="007817EE">
      <w:pPr>
        <w:pStyle w:val="EndnoteText"/>
      </w:pPr>
      <w:r>
        <w:rPr>
          <w:rStyle w:val="EndnoteReference"/>
        </w:rPr>
        <w:endnoteRef/>
      </w:r>
      <w:r>
        <w:t xml:space="preserve"> Id.</w:t>
      </w:r>
    </w:p>
  </w:endnote>
  <w:endnote w:id="51">
    <w:p w:rsidR="00F570EA" w:rsidRDefault="00F570EA" w:rsidP="007817EE">
      <w:pPr>
        <w:pStyle w:val="EndnoteText"/>
      </w:pPr>
      <w:r>
        <w:rPr>
          <w:rStyle w:val="EndnoteReference"/>
        </w:rPr>
        <w:endnoteRef/>
      </w:r>
      <w:r>
        <w:t xml:space="preserve"> 15-cv-2921 (C.D. Cal. </w:t>
      </w:r>
      <w:r w:rsidRPr="009167AC">
        <w:t>April 20, 2015)</w:t>
      </w:r>
    </w:p>
  </w:endnote>
  <w:endnote w:id="52">
    <w:p w:rsidR="00F570EA" w:rsidRDefault="00F570EA" w:rsidP="007817EE">
      <w:pPr>
        <w:pStyle w:val="EndnoteText"/>
      </w:pPr>
      <w:r>
        <w:rPr>
          <w:rStyle w:val="EndnoteReference"/>
        </w:rPr>
        <w:endnoteRef/>
      </w:r>
      <w:r>
        <w:t xml:space="preserve"> A copy of the Settlement Agreement can be found at: </w:t>
      </w:r>
      <w:hyperlink r:id="rId9" w:history="1">
        <w:r w:rsidRPr="00B1147C">
          <w:rPr>
            <w:rStyle w:val="Hyperlink"/>
          </w:rPr>
          <w:t>www.equipforequality.org/news-item/settlement-agreement-addresses-emergency-preparedness-people-disabilities-school-setting/</w:t>
        </w:r>
      </w:hyperlink>
    </w:p>
  </w:endnote>
  <w:endnote w:id="53">
    <w:p w:rsidR="00F570EA" w:rsidRDefault="00F570EA" w:rsidP="007817EE">
      <w:pPr>
        <w:pStyle w:val="EndnoteText"/>
      </w:pPr>
      <w:r>
        <w:rPr>
          <w:rStyle w:val="EndnoteReference"/>
        </w:rPr>
        <w:endnoteRef/>
      </w:r>
      <w:r>
        <w:t xml:space="preserve"> </w:t>
      </w:r>
      <w:r w:rsidRPr="009E3650">
        <w:rPr>
          <w:shd w:val="clear" w:color="auto" w:fill="FFFFFF"/>
        </w:rPr>
        <w:t>1:92-cv-00486-TPJ</w:t>
      </w:r>
      <w:r>
        <w:rPr>
          <w:shd w:val="clear" w:color="auto" w:fill="FFFFFF"/>
        </w:rPr>
        <w:t xml:space="preserve"> (D.D.C. Feb. 26, 1992)</w:t>
      </w:r>
    </w:p>
  </w:endnote>
  <w:endnote w:id="54">
    <w:p w:rsidR="00F570EA" w:rsidRDefault="00F570EA" w:rsidP="007817EE">
      <w:pPr>
        <w:pStyle w:val="EndnoteText"/>
      </w:pPr>
      <w:r>
        <w:rPr>
          <w:rStyle w:val="EndnoteReference"/>
        </w:rPr>
        <w:endnoteRef/>
      </w:r>
      <w:r>
        <w:t xml:space="preserve"> 871 F. Supp. 35 (D.D.C. 1994)</w:t>
      </w:r>
    </w:p>
  </w:endnote>
  <w:endnote w:id="55">
    <w:p w:rsidR="00F570EA" w:rsidRPr="00BC6504" w:rsidRDefault="00F570EA" w:rsidP="007817EE">
      <w:pPr>
        <w:pStyle w:val="EndnoteText"/>
      </w:pPr>
      <w:r>
        <w:rPr>
          <w:rStyle w:val="EndnoteReference"/>
        </w:rPr>
        <w:endnoteRef/>
      </w:r>
      <w:r>
        <w:t xml:space="preserve"> </w:t>
      </w:r>
      <w:r>
        <w:rPr>
          <w:i/>
        </w:rPr>
        <w:t xml:space="preserve">Id. </w:t>
      </w:r>
      <w:r>
        <w:t>at 40</w:t>
      </w:r>
    </w:p>
  </w:endnote>
  <w:endnote w:id="56">
    <w:p w:rsidR="00F570EA" w:rsidRDefault="00F570EA" w:rsidP="007817EE">
      <w:pPr>
        <w:pStyle w:val="EndnoteText"/>
      </w:pPr>
      <w:r>
        <w:rPr>
          <w:rStyle w:val="EndnoteReference"/>
        </w:rPr>
        <w:endnoteRef/>
      </w:r>
      <w:r>
        <w:t xml:space="preserve"> </w:t>
      </w:r>
      <w:hyperlink r:id="rId10" w:history="1">
        <w:r w:rsidRPr="00045236">
          <w:rPr>
            <w:rStyle w:val="Hyperlink"/>
          </w:rPr>
          <w:t>https://www.ada.gov/pcatoolkit/chap7emergencymgmtadd1.pdf</w:t>
        </w:r>
      </w:hyperlink>
    </w:p>
  </w:endnote>
  <w:endnote w:id="57">
    <w:p w:rsidR="00F570EA" w:rsidRDefault="00F570EA" w:rsidP="007817EE">
      <w:pPr>
        <w:pStyle w:val="EndnoteText"/>
      </w:pPr>
      <w:r>
        <w:rPr>
          <w:rStyle w:val="EndnoteReference"/>
        </w:rPr>
        <w:endnoteRef/>
      </w:r>
      <w:r>
        <w:t xml:space="preserve"> </w:t>
      </w:r>
      <w:hyperlink r:id="rId11" w:history="1">
        <w:r w:rsidRPr="00045236">
          <w:rPr>
            <w:rStyle w:val="Hyperlink"/>
          </w:rPr>
          <w:t>https://www.ada.gov/emerprepguideprt.pdf</w:t>
        </w:r>
      </w:hyperlink>
    </w:p>
  </w:endnote>
  <w:endnote w:id="58">
    <w:p w:rsidR="00F570EA" w:rsidRDefault="00F570EA" w:rsidP="007817EE">
      <w:pPr>
        <w:pStyle w:val="EndnoteText"/>
      </w:pPr>
      <w:r>
        <w:rPr>
          <w:rStyle w:val="EndnoteReference"/>
        </w:rPr>
        <w:endnoteRef/>
      </w:r>
      <w:hyperlink r:id="rId12" w:history="1">
        <w:r w:rsidRPr="00EC38F2">
          <w:rPr>
            <w:rStyle w:val="Hyperlink"/>
          </w:rPr>
          <w:t>https://www.hhs.gov/sites/default/files/ocr/civilrights/resources/specialtopics/emergencypre/eptrainingppt.pdf</w:t>
        </w:r>
      </w:hyperlink>
      <w:r w:rsidRPr="00EC38F2">
        <w:t xml:space="preserve"> </w:t>
      </w:r>
    </w:p>
  </w:endnote>
  <w:endnote w:id="59">
    <w:p w:rsidR="00F570EA" w:rsidRDefault="00F570EA" w:rsidP="007817EE">
      <w:pPr>
        <w:pStyle w:val="EndnoteText"/>
      </w:pPr>
      <w:r>
        <w:rPr>
          <w:rStyle w:val="EndnoteReference"/>
        </w:rPr>
        <w:endnoteRef/>
      </w:r>
      <w:r>
        <w:t xml:space="preserve"> </w:t>
      </w:r>
      <w:hyperlink r:id="rId13" w:history="1">
        <w:r w:rsidRPr="005633E2">
          <w:rPr>
            <w:rStyle w:val="Hyperlink"/>
          </w:rPr>
          <w:t>https://www.ready.gov/individuals-access-functional-needs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20" w:rsidRDefault="00A7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EE" w:rsidRDefault="007817EE" w:rsidP="007817EE">
    <w:pPr>
      <w:pStyle w:val="Footer"/>
      <w:pBdr>
        <w:top w:val="single" w:sz="4" w:space="1" w:color="auto"/>
      </w:pBdr>
      <w:jc w:val="center"/>
      <w:rPr>
        <w:b/>
        <w:bCs/>
        <w:color w:val="003366"/>
      </w:rPr>
    </w:pPr>
    <w:r>
      <w:rPr>
        <w:b/>
        <w:bCs/>
        <w:color w:val="003366"/>
      </w:rPr>
      <w:t>555 12</w:t>
    </w:r>
    <w:r>
      <w:rPr>
        <w:b/>
        <w:bCs/>
        <w:color w:val="003366"/>
        <w:vertAlign w:val="superscript"/>
      </w:rPr>
      <w:t>th</w:t>
    </w:r>
    <w:r>
      <w:rPr>
        <w:b/>
        <w:bCs/>
        <w:color w:val="003366"/>
      </w:rPr>
      <w:t xml:space="preserve"> Street, Suite 1030  </w:t>
    </w:r>
    <w:r>
      <w:rPr>
        <w:b/>
        <w:bCs/>
        <w:color w:val="003366"/>
      </w:rPr>
      <w:sym w:font="Symbol" w:char="F0B7"/>
    </w:r>
    <w:r>
      <w:rPr>
        <w:b/>
        <w:bCs/>
        <w:color w:val="003366"/>
      </w:rPr>
      <w:t xml:space="preserve">  Oakland, California 94607-4046</w:t>
    </w:r>
  </w:p>
  <w:p w:rsidR="007817EE" w:rsidRDefault="007817EE" w:rsidP="007817EE">
    <w:pPr>
      <w:pStyle w:val="Footer"/>
      <w:pBdr>
        <w:top w:val="single" w:sz="4" w:space="1" w:color="auto"/>
      </w:pBdr>
      <w:jc w:val="center"/>
      <w:rPr>
        <w:color w:val="003366"/>
      </w:rPr>
    </w:pPr>
    <w:r>
      <w:rPr>
        <w:color w:val="003366"/>
      </w:rPr>
      <w:t xml:space="preserve">1-800-949-4232 (Voice/TTY)  </w:t>
    </w:r>
    <w:r>
      <w:rPr>
        <w:color w:val="003366"/>
      </w:rPr>
      <w:sym w:font="Symbol" w:char="F0B7"/>
    </w:r>
    <w:r>
      <w:rPr>
        <w:color w:val="003366"/>
      </w:rPr>
      <w:t xml:space="preserve">  (510)-285-5600 (Voice/TTY)  </w:t>
    </w:r>
    <w:r>
      <w:rPr>
        <w:color w:val="003366"/>
      </w:rPr>
      <w:sym w:font="Symbol" w:char="F0B7"/>
    </w:r>
    <w:r>
      <w:rPr>
        <w:color w:val="003366"/>
      </w:rPr>
      <w:t xml:space="preserve">  (510)-285-5614 (Fax)</w:t>
    </w:r>
  </w:p>
  <w:p w:rsidR="007817EE" w:rsidRDefault="007817EE" w:rsidP="007817EE">
    <w:pPr>
      <w:pStyle w:val="Footer"/>
      <w:pBdr>
        <w:top w:val="single" w:sz="4" w:space="1" w:color="auto"/>
      </w:pBdr>
      <w:jc w:val="center"/>
      <w:rPr>
        <w:b/>
        <w:bCs/>
        <w:color w:val="000080"/>
      </w:rPr>
    </w:pPr>
    <w:r>
      <w:rPr>
        <w:b/>
        <w:bCs/>
        <w:color w:val="003366"/>
      </w:rPr>
      <w:t xml:space="preserve">www.adapacific.org  </w:t>
    </w:r>
    <w:r>
      <w:rPr>
        <w:b/>
        <w:bCs/>
        <w:color w:val="003366"/>
      </w:rPr>
      <w:sym w:font="Symbol" w:char="F0B7"/>
    </w:r>
    <w:r>
      <w:rPr>
        <w:b/>
        <w:bCs/>
        <w:color w:val="003366"/>
      </w:rPr>
      <w:t xml:space="preserve"> adatech@adapacific.org</w:t>
    </w:r>
    <w:r>
      <w:rPr>
        <w:b/>
        <w:bCs/>
        <w:color w:val="000080"/>
      </w:rPr>
      <w:t xml:space="preserve">  </w:t>
    </w:r>
  </w:p>
  <w:p w:rsidR="007F7087" w:rsidRDefault="007F7087" w:rsidP="00781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20" w:rsidRDefault="00A76B20" w:rsidP="00A76B20">
    <w:pPr>
      <w:pStyle w:val="Footer"/>
      <w:pBdr>
        <w:top w:val="single" w:sz="4" w:space="1" w:color="auto"/>
      </w:pBdr>
      <w:jc w:val="center"/>
      <w:rPr>
        <w:b/>
        <w:bCs/>
        <w:color w:val="003366"/>
      </w:rPr>
    </w:pPr>
    <w:r>
      <w:rPr>
        <w:b/>
        <w:bCs/>
        <w:color w:val="003366"/>
      </w:rPr>
      <w:t>555 12</w:t>
    </w:r>
    <w:r>
      <w:rPr>
        <w:b/>
        <w:bCs/>
        <w:color w:val="003366"/>
        <w:vertAlign w:val="superscript"/>
      </w:rPr>
      <w:t>th</w:t>
    </w:r>
    <w:r>
      <w:rPr>
        <w:b/>
        <w:bCs/>
        <w:color w:val="003366"/>
      </w:rPr>
      <w:t xml:space="preserve"> Street, Suite 1030  </w:t>
    </w:r>
    <w:r>
      <w:rPr>
        <w:b/>
        <w:bCs/>
        <w:color w:val="003366"/>
      </w:rPr>
      <w:sym w:font="Symbol" w:char="F0B7"/>
    </w:r>
    <w:r>
      <w:rPr>
        <w:b/>
        <w:bCs/>
        <w:color w:val="003366"/>
      </w:rPr>
      <w:t xml:space="preserve">  Oakland, California 94607-4046</w:t>
    </w:r>
  </w:p>
  <w:p w:rsidR="00A76B20" w:rsidRDefault="00A76B20" w:rsidP="00A76B20">
    <w:pPr>
      <w:pStyle w:val="Footer"/>
      <w:pBdr>
        <w:top w:val="single" w:sz="4" w:space="1" w:color="auto"/>
      </w:pBdr>
      <w:jc w:val="center"/>
      <w:rPr>
        <w:color w:val="003366"/>
      </w:rPr>
    </w:pPr>
    <w:r>
      <w:rPr>
        <w:color w:val="003366"/>
      </w:rPr>
      <w:t xml:space="preserve">1-800-949-4232 (Voice/TTY)  </w:t>
    </w:r>
    <w:r>
      <w:rPr>
        <w:color w:val="003366"/>
      </w:rPr>
      <w:sym w:font="Symbol" w:char="F0B7"/>
    </w:r>
    <w:r>
      <w:rPr>
        <w:color w:val="003366"/>
      </w:rPr>
      <w:t xml:space="preserve">  (510)-285-5600 (Voice/TTY)  </w:t>
    </w:r>
    <w:r>
      <w:rPr>
        <w:color w:val="003366"/>
      </w:rPr>
      <w:sym w:font="Symbol" w:char="F0B7"/>
    </w:r>
    <w:r>
      <w:rPr>
        <w:color w:val="003366"/>
      </w:rPr>
      <w:t xml:space="preserve">  (510)-285-5614 (Fax)</w:t>
    </w:r>
  </w:p>
  <w:p w:rsidR="00A76B20" w:rsidRDefault="00A76B20" w:rsidP="00A76B20">
    <w:pPr>
      <w:pStyle w:val="Footer"/>
      <w:pBdr>
        <w:top w:val="single" w:sz="4" w:space="1" w:color="auto"/>
      </w:pBdr>
      <w:jc w:val="center"/>
      <w:rPr>
        <w:b/>
        <w:bCs/>
        <w:color w:val="000080"/>
      </w:rPr>
    </w:pPr>
    <w:r>
      <w:rPr>
        <w:b/>
        <w:bCs/>
        <w:color w:val="003366"/>
      </w:rPr>
      <w:t xml:space="preserve">www.adapacific.org  </w:t>
    </w:r>
    <w:r>
      <w:rPr>
        <w:b/>
        <w:bCs/>
        <w:color w:val="003366"/>
      </w:rPr>
      <w:sym w:font="Symbol" w:char="F0B7"/>
    </w:r>
    <w:r>
      <w:rPr>
        <w:b/>
        <w:bCs/>
        <w:color w:val="003366"/>
      </w:rPr>
      <w:t xml:space="preserve"> adatech@adapacific.org</w:t>
    </w:r>
    <w:r>
      <w:rPr>
        <w:b/>
        <w:bCs/>
        <w:color w:val="000080"/>
      </w:rPr>
      <w:t xml:space="preserve">  </w:t>
    </w:r>
  </w:p>
  <w:p w:rsidR="007F7087" w:rsidRPr="007F7087" w:rsidRDefault="007F7087" w:rsidP="007817EE">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42A" w:rsidRDefault="00D5642A" w:rsidP="007817EE">
      <w:r>
        <w:separator/>
      </w:r>
    </w:p>
  </w:footnote>
  <w:footnote w:type="continuationSeparator" w:id="0">
    <w:p w:rsidR="00D5642A" w:rsidRDefault="00D5642A" w:rsidP="0078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20" w:rsidRDefault="00A7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EE" w:rsidRDefault="007817EE">
    <w:pPr>
      <w:pStyle w:val="Header"/>
      <w:jc w:val="right"/>
    </w:pPr>
    <w:r>
      <w:t xml:space="preserve">Page </w:t>
    </w:r>
    <w:sdt>
      <w:sdtPr>
        <w:id w:val="-13064559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6B20">
          <w:rPr>
            <w:noProof/>
          </w:rPr>
          <w:t>2</w:t>
        </w:r>
        <w:r>
          <w:rPr>
            <w:noProof/>
          </w:rPr>
          <w:fldChar w:fldCharType="end"/>
        </w:r>
      </w:sdtContent>
    </w:sdt>
  </w:p>
  <w:p w:rsidR="004908CF" w:rsidRDefault="004908CF" w:rsidP="00781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87" w:rsidRDefault="007F7087" w:rsidP="00F81B76">
    <w:pPr>
      <w:pStyle w:val="Header"/>
      <w:jc w:val="center"/>
    </w:pPr>
    <w:r>
      <w:rPr>
        <w:noProof/>
      </w:rPr>
      <w:drawing>
        <wp:inline distT="0" distB="0" distL="0" distR="0" wp14:anchorId="0BE09CD1" wp14:editId="42ECB5E6">
          <wp:extent cx="2618235" cy="14629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 2016 logo 1line byline.jpg"/>
                  <pic:cNvPicPr/>
                </pic:nvPicPr>
                <pic:blipFill>
                  <a:blip r:embed="rId1">
                    <a:extLst>
                      <a:ext uri="{28A0092B-C50C-407E-A947-70E740481C1C}">
                        <a14:useLocalDpi xmlns:a14="http://schemas.microsoft.com/office/drawing/2010/main" val="0"/>
                      </a:ext>
                    </a:extLst>
                  </a:blip>
                  <a:stretch>
                    <a:fillRect/>
                  </a:stretch>
                </pic:blipFill>
                <pic:spPr>
                  <a:xfrm>
                    <a:off x="0" y="0"/>
                    <a:ext cx="2716655" cy="151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E96"/>
    <w:multiLevelType w:val="hybridMultilevel"/>
    <w:tmpl w:val="43FA46EE"/>
    <w:lvl w:ilvl="0" w:tplc="B806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7652"/>
    <w:multiLevelType w:val="hybridMultilevel"/>
    <w:tmpl w:val="0F9640B8"/>
    <w:lvl w:ilvl="0" w:tplc="6420A65C">
      <w:start w:val="1"/>
      <w:numFmt w:val="bullet"/>
      <w:lvlText w:val="•"/>
      <w:lvlJc w:val="left"/>
      <w:pPr>
        <w:tabs>
          <w:tab w:val="num" w:pos="720"/>
        </w:tabs>
        <w:ind w:left="720" w:hanging="360"/>
      </w:pPr>
      <w:rPr>
        <w:rFonts w:ascii="Times New Roman" w:hAnsi="Times New Roman" w:hint="default"/>
      </w:rPr>
    </w:lvl>
    <w:lvl w:ilvl="1" w:tplc="B3C05498">
      <w:start w:val="1"/>
      <w:numFmt w:val="bullet"/>
      <w:lvlText w:val="•"/>
      <w:lvlJc w:val="left"/>
      <w:pPr>
        <w:tabs>
          <w:tab w:val="num" w:pos="1440"/>
        </w:tabs>
        <w:ind w:left="1440" w:hanging="360"/>
      </w:pPr>
      <w:rPr>
        <w:rFonts w:ascii="Times New Roman" w:hAnsi="Times New Roman" w:hint="default"/>
      </w:rPr>
    </w:lvl>
    <w:lvl w:ilvl="2" w:tplc="A7B2E6CA">
      <w:start w:val="775"/>
      <w:numFmt w:val="bullet"/>
      <w:lvlText w:val="•"/>
      <w:lvlJc w:val="left"/>
      <w:pPr>
        <w:tabs>
          <w:tab w:val="num" w:pos="2160"/>
        </w:tabs>
        <w:ind w:left="2160" w:hanging="360"/>
      </w:pPr>
      <w:rPr>
        <w:rFonts w:ascii="Times New Roman" w:hAnsi="Times New Roman" w:hint="default"/>
      </w:rPr>
    </w:lvl>
    <w:lvl w:ilvl="3" w:tplc="87C40474" w:tentative="1">
      <w:start w:val="1"/>
      <w:numFmt w:val="bullet"/>
      <w:lvlText w:val="•"/>
      <w:lvlJc w:val="left"/>
      <w:pPr>
        <w:tabs>
          <w:tab w:val="num" w:pos="2880"/>
        </w:tabs>
        <w:ind w:left="2880" w:hanging="360"/>
      </w:pPr>
      <w:rPr>
        <w:rFonts w:ascii="Times New Roman" w:hAnsi="Times New Roman" w:hint="default"/>
      </w:rPr>
    </w:lvl>
    <w:lvl w:ilvl="4" w:tplc="1F2AF676" w:tentative="1">
      <w:start w:val="1"/>
      <w:numFmt w:val="bullet"/>
      <w:lvlText w:val="•"/>
      <w:lvlJc w:val="left"/>
      <w:pPr>
        <w:tabs>
          <w:tab w:val="num" w:pos="3600"/>
        </w:tabs>
        <w:ind w:left="3600" w:hanging="360"/>
      </w:pPr>
      <w:rPr>
        <w:rFonts w:ascii="Times New Roman" w:hAnsi="Times New Roman" w:hint="default"/>
      </w:rPr>
    </w:lvl>
    <w:lvl w:ilvl="5" w:tplc="C9381C16" w:tentative="1">
      <w:start w:val="1"/>
      <w:numFmt w:val="bullet"/>
      <w:lvlText w:val="•"/>
      <w:lvlJc w:val="left"/>
      <w:pPr>
        <w:tabs>
          <w:tab w:val="num" w:pos="4320"/>
        </w:tabs>
        <w:ind w:left="4320" w:hanging="360"/>
      </w:pPr>
      <w:rPr>
        <w:rFonts w:ascii="Times New Roman" w:hAnsi="Times New Roman" w:hint="default"/>
      </w:rPr>
    </w:lvl>
    <w:lvl w:ilvl="6" w:tplc="C58C12F8" w:tentative="1">
      <w:start w:val="1"/>
      <w:numFmt w:val="bullet"/>
      <w:lvlText w:val="•"/>
      <w:lvlJc w:val="left"/>
      <w:pPr>
        <w:tabs>
          <w:tab w:val="num" w:pos="5040"/>
        </w:tabs>
        <w:ind w:left="5040" w:hanging="360"/>
      </w:pPr>
      <w:rPr>
        <w:rFonts w:ascii="Times New Roman" w:hAnsi="Times New Roman" w:hint="default"/>
      </w:rPr>
    </w:lvl>
    <w:lvl w:ilvl="7" w:tplc="0ED66CA8" w:tentative="1">
      <w:start w:val="1"/>
      <w:numFmt w:val="bullet"/>
      <w:lvlText w:val="•"/>
      <w:lvlJc w:val="left"/>
      <w:pPr>
        <w:tabs>
          <w:tab w:val="num" w:pos="5760"/>
        </w:tabs>
        <w:ind w:left="5760" w:hanging="360"/>
      </w:pPr>
      <w:rPr>
        <w:rFonts w:ascii="Times New Roman" w:hAnsi="Times New Roman" w:hint="default"/>
      </w:rPr>
    </w:lvl>
    <w:lvl w:ilvl="8" w:tplc="FDFC7B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4033E1"/>
    <w:multiLevelType w:val="hybridMultilevel"/>
    <w:tmpl w:val="06F4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4DCD"/>
    <w:multiLevelType w:val="hybridMultilevel"/>
    <w:tmpl w:val="F59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5588"/>
    <w:multiLevelType w:val="hybridMultilevel"/>
    <w:tmpl w:val="1BFE43A6"/>
    <w:lvl w:ilvl="0" w:tplc="9BBE679E">
      <w:start w:val="1"/>
      <w:numFmt w:val="bullet"/>
      <w:lvlText w:val="•"/>
      <w:lvlJc w:val="left"/>
      <w:pPr>
        <w:tabs>
          <w:tab w:val="num" w:pos="720"/>
        </w:tabs>
        <w:ind w:left="720" w:hanging="360"/>
      </w:pPr>
      <w:rPr>
        <w:rFonts w:ascii="Times New Roman" w:hAnsi="Times New Roman" w:hint="default"/>
      </w:rPr>
    </w:lvl>
    <w:lvl w:ilvl="1" w:tplc="B6F2D35A" w:tentative="1">
      <w:start w:val="1"/>
      <w:numFmt w:val="bullet"/>
      <w:lvlText w:val="•"/>
      <w:lvlJc w:val="left"/>
      <w:pPr>
        <w:tabs>
          <w:tab w:val="num" w:pos="1440"/>
        </w:tabs>
        <w:ind w:left="1440" w:hanging="360"/>
      </w:pPr>
      <w:rPr>
        <w:rFonts w:ascii="Times New Roman" w:hAnsi="Times New Roman" w:hint="default"/>
      </w:rPr>
    </w:lvl>
    <w:lvl w:ilvl="2" w:tplc="B5980A24" w:tentative="1">
      <w:start w:val="1"/>
      <w:numFmt w:val="bullet"/>
      <w:lvlText w:val="•"/>
      <w:lvlJc w:val="left"/>
      <w:pPr>
        <w:tabs>
          <w:tab w:val="num" w:pos="2160"/>
        </w:tabs>
        <w:ind w:left="2160" w:hanging="360"/>
      </w:pPr>
      <w:rPr>
        <w:rFonts w:ascii="Times New Roman" w:hAnsi="Times New Roman" w:hint="default"/>
      </w:rPr>
    </w:lvl>
    <w:lvl w:ilvl="3" w:tplc="86FE578E" w:tentative="1">
      <w:start w:val="1"/>
      <w:numFmt w:val="bullet"/>
      <w:lvlText w:val="•"/>
      <w:lvlJc w:val="left"/>
      <w:pPr>
        <w:tabs>
          <w:tab w:val="num" w:pos="2880"/>
        </w:tabs>
        <w:ind w:left="2880" w:hanging="360"/>
      </w:pPr>
      <w:rPr>
        <w:rFonts w:ascii="Times New Roman" w:hAnsi="Times New Roman" w:hint="default"/>
      </w:rPr>
    </w:lvl>
    <w:lvl w:ilvl="4" w:tplc="39861216" w:tentative="1">
      <w:start w:val="1"/>
      <w:numFmt w:val="bullet"/>
      <w:lvlText w:val="•"/>
      <w:lvlJc w:val="left"/>
      <w:pPr>
        <w:tabs>
          <w:tab w:val="num" w:pos="3600"/>
        </w:tabs>
        <w:ind w:left="3600" w:hanging="360"/>
      </w:pPr>
      <w:rPr>
        <w:rFonts w:ascii="Times New Roman" w:hAnsi="Times New Roman" w:hint="default"/>
      </w:rPr>
    </w:lvl>
    <w:lvl w:ilvl="5" w:tplc="4CBE86B0" w:tentative="1">
      <w:start w:val="1"/>
      <w:numFmt w:val="bullet"/>
      <w:lvlText w:val="•"/>
      <w:lvlJc w:val="left"/>
      <w:pPr>
        <w:tabs>
          <w:tab w:val="num" w:pos="4320"/>
        </w:tabs>
        <w:ind w:left="4320" w:hanging="360"/>
      </w:pPr>
      <w:rPr>
        <w:rFonts w:ascii="Times New Roman" w:hAnsi="Times New Roman" w:hint="default"/>
      </w:rPr>
    </w:lvl>
    <w:lvl w:ilvl="6" w:tplc="B0543490" w:tentative="1">
      <w:start w:val="1"/>
      <w:numFmt w:val="bullet"/>
      <w:lvlText w:val="•"/>
      <w:lvlJc w:val="left"/>
      <w:pPr>
        <w:tabs>
          <w:tab w:val="num" w:pos="5040"/>
        </w:tabs>
        <w:ind w:left="5040" w:hanging="360"/>
      </w:pPr>
      <w:rPr>
        <w:rFonts w:ascii="Times New Roman" w:hAnsi="Times New Roman" w:hint="default"/>
      </w:rPr>
    </w:lvl>
    <w:lvl w:ilvl="7" w:tplc="CC9AA774" w:tentative="1">
      <w:start w:val="1"/>
      <w:numFmt w:val="bullet"/>
      <w:lvlText w:val="•"/>
      <w:lvlJc w:val="left"/>
      <w:pPr>
        <w:tabs>
          <w:tab w:val="num" w:pos="5760"/>
        </w:tabs>
        <w:ind w:left="5760" w:hanging="360"/>
      </w:pPr>
      <w:rPr>
        <w:rFonts w:ascii="Times New Roman" w:hAnsi="Times New Roman" w:hint="default"/>
      </w:rPr>
    </w:lvl>
    <w:lvl w:ilvl="8" w:tplc="9B1E75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9B63AE"/>
    <w:multiLevelType w:val="hybridMultilevel"/>
    <w:tmpl w:val="B2609D58"/>
    <w:lvl w:ilvl="0" w:tplc="A2CAB458">
      <w:start w:val="1"/>
      <w:numFmt w:val="bullet"/>
      <w:lvlText w:val="•"/>
      <w:lvlJc w:val="left"/>
      <w:pPr>
        <w:tabs>
          <w:tab w:val="num" w:pos="720"/>
        </w:tabs>
        <w:ind w:left="720" w:hanging="360"/>
      </w:pPr>
      <w:rPr>
        <w:rFonts w:ascii="Times New Roman" w:hAnsi="Times New Roman" w:hint="default"/>
      </w:rPr>
    </w:lvl>
    <w:lvl w:ilvl="1" w:tplc="0E5888DE" w:tentative="1">
      <w:start w:val="1"/>
      <w:numFmt w:val="bullet"/>
      <w:lvlText w:val="•"/>
      <w:lvlJc w:val="left"/>
      <w:pPr>
        <w:tabs>
          <w:tab w:val="num" w:pos="1440"/>
        </w:tabs>
        <w:ind w:left="1440" w:hanging="360"/>
      </w:pPr>
      <w:rPr>
        <w:rFonts w:ascii="Times New Roman" w:hAnsi="Times New Roman" w:hint="default"/>
      </w:rPr>
    </w:lvl>
    <w:lvl w:ilvl="2" w:tplc="37481A66" w:tentative="1">
      <w:start w:val="1"/>
      <w:numFmt w:val="bullet"/>
      <w:lvlText w:val="•"/>
      <w:lvlJc w:val="left"/>
      <w:pPr>
        <w:tabs>
          <w:tab w:val="num" w:pos="2160"/>
        </w:tabs>
        <w:ind w:left="2160" w:hanging="360"/>
      </w:pPr>
      <w:rPr>
        <w:rFonts w:ascii="Times New Roman" w:hAnsi="Times New Roman" w:hint="default"/>
      </w:rPr>
    </w:lvl>
    <w:lvl w:ilvl="3" w:tplc="227C3CFE" w:tentative="1">
      <w:start w:val="1"/>
      <w:numFmt w:val="bullet"/>
      <w:lvlText w:val="•"/>
      <w:lvlJc w:val="left"/>
      <w:pPr>
        <w:tabs>
          <w:tab w:val="num" w:pos="2880"/>
        </w:tabs>
        <w:ind w:left="2880" w:hanging="360"/>
      </w:pPr>
      <w:rPr>
        <w:rFonts w:ascii="Times New Roman" w:hAnsi="Times New Roman" w:hint="default"/>
      </w:rPr>
    </w:lvl>
    <w:lvl w:ilvl="4" w:tplc="56CE8976" w:tentative="1">
      <w:start w:val="1"/>
      <w:numFmt w:val="bullet"/>
      <w:lvlText w:val="•"/>
      <w:lvlJc w:val="left"/>
      <w:pPr>
        <w:tabs>
          <w:tab w:val="num" w:pos="3600"/>
        </w:tabs>
        <w:ind w:left="3600" w:hanging="360"/>
      </w:pPr>
      <w:rPr>
        <w:rFonts w:ascii="Times New Roman" w:hAnsi="Times New Roman" w:hint="default"/>
      </w:rPr>
    </w:lvl>
    <w:lvl w:ilvl="5" w:tplc="EE7EFF06" w:tentative="1">
      <w:start w:val="1"/>
      <w:numFmt w:val="bullet"/>
      <w:lvlText w:val="•"/>
      <w:lvlJc w:val="left"/>
      <w:pPr>
        <w:tabs>
          <w:tab w:val="num" w:pos="4320"/>
        </w:tabs>
        <w:ind w:left="4320" w:hanging="360"/>
      </w:pPr>
      <w:rPr>
        <w:rFonts w:ascii="Times New Roman" w:hAnsi="Times New Roman" w:hint="default"/>
      </w:rPr>
    </w:lvl>
    <w:lvl w:ilvl="6" w:tplc="3AFC612C" w:tentative="1">
      <w:start w:val="1"/>
      <w:numFmt w:val="bullet"/>
      <w:lvlText w:val="•"/>
      <w:lvlJc w:val="left"/>
      <w:pPr>
        <w:tabs>
          <w:tab w:val="num" w:pos="5040"/>
        </w:tabs>
        <w:ind w:left="5040" w:hanging="360"/>
      </w:pPr>
      <w:rPr>
        <w:rFonts w:ascii="Times New Roman" w:hAnsi="Times New Roman" w:hint="default"/>
      </w:rPr>
    </w:lvl>
    <w:lvl w:ilvl="7" w:tplc="6D3CEE34" w:tentative="1">
      <w:start w:val="1"/>
      <w:numFmt w:val="bullet"/>
      <w:lvlText w:val="•"/>
      <w:lvlJc w:val="left"/>
      <w:pPr>
        <w:tabs>
          <w:tab w:val="num" w:pos="5760"/>
        </w:tabs>
        <w:ind w:left="5760" w:hanging="360"/>
      </w:pPr>
      <w:rPr>
        <w:rFonts w:ascii="Times New Roman" w:hAnsi="Times New Roman" w:hint="default"/>
      </w:rPr>
    </w:lvl>
    <w:lvl w:ilvl="8" w:tplc="DB700F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BF2267"/>
    <w:multiLevelType w:val="hybridMultilevel"/>
    <w:tmpl w:val="ED6870CA"/>
    <w:lvl w:ilvl="0" w:tplc="66820ECC">
      <w:start w:val="1"/>
      <w:numFmt w:val="bullet"/>
      <w:lvlText w:val=""/>
      <w:lvlJc w:val="left"/>
      <w:pPr>
        <w:tabs>
          <w:tab w:val="num" w:pos="720"/>
        </w:tabs>
        <w:ind w:left="720" w:hanging="360"/>
      </w:pPr>
      <w:rPr>
        <w:rFonts w:ascii="Wingdings" w:hAnsi="Wingdings" w:hint="default"/>
      </w:rPr>
    </w:lvl>
    <w:lvl w:ilvl="1" w:tplc="2598AC46">
      <w:start w:val="1"/>
      <w:numFmt w:val="bullet"/>
      <w:lvlText w:val=""/>
      <w:lvlJc w:val="left"/>
      <w:pPr>
        <w:tabs>
          <w:tab w:val="num" w:pos="1440"/>
        </w:tabs>
        <w:ind w:left="1440" w:hanging="360"/>
      </w:pPr>
      <w:rPr>
        <w:rFonts w:ascii="Wingdings" w:hAnsi="Wingdings" w:hint="default"/>
      </w:rPr>
    </w:lvl>
    <w:lvl w:ilvl="2" w:tplc="A66E59D6" w:tentative="1">
      <w:start w:val="1"/>
      <w:numFmt w:val="bullet"/>
      <w:lvlText w:val=""/>
      <w:lvlJc w:val="left"/>
      <w:pPr>
        <w:tabs>
          <w:tab w:val="num" w:pos="2160"/>
        </w:tabs>
        <w:ind w:left="2160" w:hanging="360"/>
      </w:pPr>
      <w:rPr>
        <w:rFonts w:ascii="Wingdings" w:hAnsi="Wingdings" w:hint="default"/>
      </w:rPr>
    </w:lvl>
    <w:lvl w:ilvl="3" w:tplc="F6A48BD6" w:tentative="1">
      <w:start w:val="1"/>
      <w:numFmt w:val="bullet"/>
      <w:lvlText w:val=""/>
      <w:lvlJc w:val="left"/>
      <w:pPr>
        <w:tabs>
          <w:tab w:val="num" w:pos="2880"/>
        </w:tabs>
        <w:ind w:left="2880" w:hanging="360"/>
      </w:pPr>
      <w:rPr>
        <w:rFonts w:ascii="Wingdings" w:hAnsi="Wingdings" w:hint="default"/>
      </w:rPr>
    </w:lvl>
    <w:lvl w:ilvl="4" w:tplc="151060D6" w:tentative="1">
      <w:start w:val="1"/>
      <w:numFmt w:val="bullet"/>
      <w:lvlText w:val=""/>
      <w:lvlJc w:val="left"/>
      <w:pPr>
        <w:tabs>
          <w:tab w:val="num" w:pos="3600"/>
        </w:tabs>
        <w:ind w:left="3600" w:hanging="360"/>
      </w:pPr>
      <w:rPr>
        <w:rFonts w:ascii="Wingdings" w:hAnsi="Wingdings" w:hint="default"/>
      </w:rPr>
    </w:lvl>
    <w:lvl w:ilvl="5" w:tplc="7F44E19E" w:tentative="1">
      <w:start w:val="1"/>
      <w:numFmt w:val="bullet"/>
      <w:lvlText w:val=""/>
      <w:lvlJc w:val="left"/>
      <w:pPr>
        <w:tabs>
          <w:tab w:val="num" w:pos="4320"/>
        </w:tabs>
        <w:ind w:left="4320" w:hanging="360"/>
      </w:pPr>
      <w:rPr>
        <w:rFonts w:ascii="Wingdings" w:hAnsi="Wingdings" w:hint="default"/>
      </w:rPr>
    </w:lvl>
    <w:lvl w:ilvl="6" w:tplc="1390C1AE" w:tentative="1">
      <w:start w:val="1"/>
      <w:numFmt w:val="bullet"/>
      <w:lvlText w:val=""/>
      <w:lvlJc w:val="left"/>
      <w:pPr>
        <w:tabs>
          <w:tab w:val="num" w:pos="5040"/>
        </w:tabs>
        <w:ind w:left="5040" w:hanging="360"/>
      </w:pPr>
      <w:rPr>
        <w:rFonts w:ascii="Wingdings" w:hAnsi="Wingdings" w:hint="default"/>
      </w:rPr>
    </w:lvl>
    <w:lvl w:ilvl="7" w:tplc="C9229602" w:tentative="1">
      <w:start w:val="1"/>
      <w:numFmt w:val="bullet"/>
      <w:lvlText w:val=""/>
      <w:lvlJc w:val="left"/>
      <w:pPr>
        <w:tabs>
          <w:tab w:val="num" w:pos="5760"/>
        </w:tabs>
        <w:ind w:left="5760" w:hanging="360"/>
      </w:pPr>
      <w:rPr>
        <w:rFonts w:ascii="Wingdings" w:hAnsi="Wingdings" w:hint="default"/>
      </w:rPr>
    </w:lvl>
    <w:lvl w:ilvl="8" w:tplc="30D82D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654D9"/>
    <w:multiLevelType w:val="hybridMultilevel"/>
    <w:tmpl w:val="A546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67B"/>
    <w:multiLevelType w:val="hybridMultilevel"/>
    <w:tmpl w:val="E6D4D3A8"/>
    <w:lvl w:ilvl="0" w:tplc="F70E70F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87E4D"/>
    <w:multiLevelType w:val="hybridMultilevel"/>
    <w:tmpl w:val="4C9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22B47"/>
    <w:multiLevelType w:val="hybridMultilevel"/>
    <w:tmpl w:val="5F024796"/>
    <w:lvl w:ilvl="0" w:tplc="729681A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73748"/>
    <w:multiLevelType w:val="hybridMultilevel"/>
    <w:tmpl w:val="2BD033A2"/>
    <w:lvl w:ilvl="0" w:tplc="13F61F9E">
      <w:start w:val="1"/>
      <w:numFmt w:val="bullet"/>
      <w:lvlText w:val="•"/>
      <w:lvlJc w:val="left"/>
      <w:pPr>
        <w:tabs>
          <w:tab w:val="num" w:pos="720"/>
        </w:tabs>
        <w:ind w:left="720" w:hanging="360"/>
      </w:pPr>
      <w:rPr>
        <w:rFonts w:ascii="Times New Roman" w:hAnsi="Times New Roman" w:hint="default"/>
      </w:rPr>
    </w:lvl>
    <w:lvl w:ilvl="1" w:tplc="705AC04A" w:tentative="1">
      <w:start w:val="1"/>
      <w:numFmt w:val="bullet"/>
      <w:lvlText w:val="•"/>
      <w:lvlJc w:val="left"/>
      <w:pPr>
        <w:tabs>
          <w:tab w:val="num" w:pos="1440"/>
        </w:tabs>
        <w:ind w:left="1440" w:hanging="360"/>
      </w:pPr>
      <w:rPr>
        <w:rFonts w:ascii="Times New Roman" w:hAnsi="Times New Roman" w:hint="default"/>
      </w:rPr>
    </w:lvl>
    <w:lvl w:ilvl="2" w:tplc="673256B2" w:tentative="1">
      <w:start w:val="1"/>
      <w:numFmt w:val="bullet"/>
      <w:lvlText w:val="•"/>
      <w:lvlJc w:val="left"/>
      <w:pPr>
        <w:tabs>
          <w:tab w:val="num" w:pos="2160"/>
        </w:tabs>
        <w:ind w:left="2160" w:hanging="360"/>
      </w:pPr>
      <w:rPr>
        <w:rFonts w:ascii="Times New Roman" w:hAnsi="Times New Roman" w:hint="default"/>
      </w:rPr>
    </w:lvl>
    <w:lvl w:ilvl="3" w:tplc="4ACE2560" w:tentative="1">
      <w:start w:val="1"/>
      <w:numFmt w:val="bullet"/>
      <w:lvlText w:val="•"/>
      <w:lvlJc w:val="left"/>
      <w:pPr>
        <w:tabs>
          <w:tab w:val="num" w:pos="2880"/>
        </w:tabs>
        <w:ind w:left="2880" w:hanging="360"/>
      </w:pPr>
      <w:rPr>
        <w:rFonts w:ascii="Times New Roman" w:hAnsi="Times New Roman" w:hint="default"/>
      </w:rPr>
    </w:lvl>
    <w:lvl w:ilvl="4" w:tplc="55B8075E" w:tentative="1">
      <w:start w:val="1"/>
      <w:numFmt w:val="bullet"/>
      <w:lvlText w:val="•"/>
      <w:lvlJc w:val="left"/>
      <w:pPr>
        <w:tabs>
          <w:tab w:val="num" w:pos="3600"/>
        </w:tabs>
        <w:ind w:left="3600" w:hanging="360"/>
      </w:pPr>
      <w:rPr>
        <w:rFonts w:ascii="Times New Roman" w:hAnsi="Times New Roman" w:hint="default"/>
      </w:rPr>
    </w:lvl>
    <w:lvl w:ilvl="5" w:tplc="0FC41C98" w:tentative="1">
      <w:start w:val="1"/>
      <w:numFmt w:val="bullet"/>
      <w:lvlText w:val="•"/>
      <w:lvlJc w:val="left"/>
      <w:pPr>
        <w:tabs>
          <w:tab w:val="num" w:pos="4320"/>
        </w:tabs>
        <w:ind w:left="4320" w:hanging="360"/>
      </w:pPr>
      <w:rPr>
        <w:rFonts w:ascii="Times New Roman" w:hAnsi="Times New Roman" w:hint="default"/>
      </w:rPr>
    </w:lvl>
    <w:lvl w:ilvl="6" w:tplc="672C80F0" w:tentative="1">
      <w:start w:val="1"/>
      <w:numFmt w:val="bullet"/>
      <w:lvlText w:val="•"/>
      <w:lvlJc w:val="left"/>
      <w:pPr>
        <w:tabs>
          <w:tab w:val="num" w:pos="5040"/>
        </w:tabs>
        <w:ind w:left="5040" w:hanging="360"/>
      </w:pPr>
      <w:rPr>
        <w:rFonts w:ascii="Times New Roman" w:hAnsi="Times New Roman" w:hint="default"/>
      </w:rPr>
    </w:lvl>
    <w:lvl w:ilvl="7" w:tplc="D6D431E6" w:tentative="1">
      <w:start w:val="1"/>
      <w:numFmt w:val="bullet"/>
      <w:lvlText w:val="•"/>
      <w:lvlJc w:val="left"/>
      <w:pPr>
        <w:tabs>
          <w:tab w:val="num" w:pos="5760"/>
        </w:tabs>
        <w:ind w:left="5760" w:hanging="360"/>
      </w:pPr>
      <w:rPr>
        <w:rFonts w:ascii="Times New Roman" w:hAnsi="Times New Roman" w:hint="default"/>
      </w:rPr>
    </w:lvl>
    <w:lvl w:ilvl="8" w:tplc="B6649DA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2C1E81"/>
    <w:multiLevelType w:val="hybridMultilevel"/>
    <w:tmpl w:val="C3A0503A"/>
    <w:lvl w:ilvl="0" w:tplc="411E8B78">
      <w:start w:val="1"/>
      <w:numFmt w:val="bullet"/>
      <w:lvlText w:val="•"/>
      <w:lvlJc w:val="left"/>
      <w:pPr>
        <w:tabs>
          <w:tab w:val="num" w:pos="720"/>
        </w:tabs>
        <w:ind w:left="720" w:hanging="360"/>
      </w:pPr>
      <w:rPr>
        <w:rFonts w:ascii="Times New Roman" w:hAnsi="Times New Roman" w:hint="default"/>
      </w:rPr>
    </w:lvl>
    <w:lvl w:ilvl="1" w:tplc="F5AEDB40" w:tentative="1">
      <w:start w:val="1"/>
      <w:numFmt w:val="bullet"/>
      <w:lvlText w:val="•"/>
      <w:lvlJc w:val="left"/>
      <w:pPr>
        <w:tabs>
          <w:tab w:val="num" w:pos="1440"/>
        </w:tabs>
        <w:ind w:left="1440" w:hanging="360"/>
      </w:pPr>
      <w:rPr>
        <w:rFonts w:ascii="Times New Roman" w:hAnsi="Times New Roman" w:hint="default"/>
      </w:rPr>
    </w:lvl>
    <w:lvl w:ilvl="2" w:tplc="DDE645F6">
      <w:start w:val="1"/>
      <w:numFmt w:val="bullet"/>
      <w:lvlText w:val="•"/>
      <w:lvlJc w:val="left"/>
      <w:pPr>
        <w:tabs>
          <w:tab w:val="num" w:pos="2160"/>
        </w:tabs>
        <w:ind w:left="2160" w:hanging="360"/>
      </w:pPr>
      <w:rPr>
        <w:rFonts w:ascii="Times New Roman" w:hAnsi="Times New Roman" w:hint="default"/>
      </w:rPr>
    </w:lvl>
    <w:lvl w:ilvl="3" w:tplc="6794F722" w:tentative="1">
      <w:start w:val="1"/>
      <w:numFmt w:val="bullet"/>
      <w:lvlText w:val="•"/>
      <w:lvlJc w:val="left"/>
      <w:pPr>
        <w:tabs>
          <w:tab w:val="num" w:pos="2880"/>
        </w:tabs>
        <w:ind w:left="2880" w:hanging="360"/>
      </w:pPr>
      <w:rPr>
        <w:rFonts w:ascii="Times New Roman" w:hAnsi="Times New Roman" w:hint="default"/>
      </w:rPr>
    </w:lvl>
    <w:lvl w:ilvl="4" w:tplc="9BC41772" w:tentative="1">
      <w:start w:val="1"/>
      <w:numFmt w:val="bullet"/>
      <w:lvlText w:val="•"/>
      <w:lvlJc w:val="left"/>
      <w:pPr>
        <w:tabs>
          <w:tab w:val="num" w:pos="3600"/>
        </w:tabs>
        <w:ind w:left="3600" w:hanging="360"/>
      </w:pPr>
      <w:rPr>
        <w:rFonts w:ascii="Times New Roman" w:hAnsi="Times New Roman" w:hint="default"/>
      </w:rPr>
    </w:lvl>
    <w:lvl w:ilvl="5" w:tplc="BB683010" w:tentative="1">
      <w:start w:val="1"/>
      <w:numFmt w:val="bullet"/>
      <w:lvlText w:val="•"/>
      <w:lvlJc w:val="left"/>
      <w:pPr>
        <w:tabs>
          <w:tab w:val="num" w:pos="4320"/>
        </w:tabs>
        <w:ind w:left="4320" w:hanging="360"/>
      </w:pPr>
      <w:rPr>
        <w:rFonts w:ascii="Times New Roman" w:hAnsi="Times New Roman" w:hint="default"/>
      </w:rPr>
    </w:lvl>
    <w:lvl w:ilvl="6" w:tplc="5BB82D64" w:tentative="1">
      <w:start w:val="1"/>
      <w:numFmt w:val="bullet"/>
      <w:lvlText w:val="•"/>
      <w:lvlJc w:val="left"/>
      <w:pPr>
        <w:tabs>
          <w:tab w:val="num" w:pos="5040"/>
        </w:tabs>
        <w:ind w:left="5040" w:hanging="360"/>
      </w:pPr>
      <w:rPr>
        <w:rFonts w:ascii="Times New Roman" w:hAnsi="Times New Roman" w:hint="default"/>
      </w:rPr>
    </w:lvl>
    <w:lvl w:ilvl="7" w:tplc="C6C4E85A" w:tentative="1">
      <w:start w:val="1"/>
      <w:numFmt w:val="bullet"/>
      <w:lvlText w:val="•"/>
      <w:lvlJc w:val="left"/>
      <w:pPr>
        <w:tabs>
          <w:tab w:val="num" w:pos="5760"/>
        </w:tabs>
        <w:ind w:left="5760" w:hanging="360"/>
      </w:pPr>
      <w:rPr>
        <w:rFonts w:ascii="Times New Roman" w:hAnsi="Times New Roman" w:hint="default"/>
      </w:rPr>
    </w:lvl>
    <w:lvl w:ilvl="8" w:tplc="5D04B5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717AB8"/>
    <w:multiLevelType w:val="hybridMultilevel"/>
    <w:tmpl w:val="67049678"/>
    <w:lvl w:ilvl="0" w:tplc="03AC316A">
      <w:start w:val="1"/>
      <w:numFmt w:val="bullet"/>
      <w:lvlText w:val="•"/>
      <w:lvlJc w:val="left"/>
      <w:pPr>
        <w:tabs>
          <w:tab w:val="num" w:pos="720"/>
        </w:tabs>
        <w:ind w:left="720" w:hanging="360"/>
      </w:pPr>
      <w:rPr>
        <w:rFonts w:ascii="Times New Roman" w:hAnsi="Times New Roman" w:hint="default"/>
      </w:rPr>
    </w:lvl>
    <w:lvl w:ilvl="1" w:tplc="264A6C20" w:tentative="1">
      <w:start w:val="1"/>
      <w:numFmt w:val="bullet"/>
      <w:lvlText w:val="•"/>
      <w:lvlJc w:val="left"/>
      <w:pPr>
        <w:tabs>
          <w:tab w:val="num" w:pos="1440"/>
        </w:tabs>
        <w:ind w:left="1440" w:hanging="360"/>
      </w:pPr>
      <w:rPr>
        <w:rFonts w:ascii="Times New Roman" w:hAnsi="Times New Roman" w:hint="default"/>
      </w:rPr>
    </w:lvl>
    <w:lvl w:ilvl="2" w:tplc="7646F398">
      <w:start w:val="1"/>
      <w:numFmt w:val="bullet"/>
      <w:lvlText w:val="•"/>
      <w:lvlJc w:val="left"/>
      <w:pPr>
        <w:tabs>
          <w:tab w:val="num" w:pos="2160"/>
        </w:tabs>
        <w:ind w:left="2160" w:hanging="360"/>
      </w:pPr>
      <w:rPr>
        <w:rFonts w:ascii="Times New Roman" w:hAnsi="Times New Roman" w:hint="default"/>
      </w:rPr>
    </w:lvl>
    <w:lvl w:ilvl="3" w:tplc="D6483230" w:tentative="1">
      <w:start w:val="1"/>
      <w:numFmt w:val="bullet"/>
      <w:lvlText w:val="•"/>
      <w:lvlJc w:val="left"/>
      <w:pPr>
        <w:tabs>
          <w:tab w:val="num" w:pos="2880"/>
        </w:tabs>
        <w:ind w:left="2880" w:hanging="360"/>
      </w:pPr>
      <w:rPr>
        <w:rFonts w:ascii="Times New Roman" w:hAnsi="Times New Roman" w:hint="default"/>
      </w:rPr>
    </w:lvl>
    <w:lvl w:ilvl="4" w:tplc="A38C9ADC" w:tentative="1">
      <w:start w:val="1"/>
      <w:numFmt w:val="bullet"/>
      <w:lvlText w:val="•"/>
      <w:lvlJc w:val="left"/>
      <w:pPr>
        <w:tabs>
          <w:tab w:val="num" w:pos="3600"/>
        </w:tabs>
        <w:ind w:left="3600" w:hanging="360"/>
      </w:pPr>
      <w:rPr>
        <w:rFonts w:ascii="Times New Roman" w:hAnsi="Times New Roman" w:hint="default"/>
      </w:rPr>
    </w:lvl>
    <w:lvl w:ilvl="5" w:tplc="70780D52" w:tentative="1">
      <w:start w:val="1"/>
      <w:numFmt w:val="bullet"/>
      <w:lvlText w:val="•"/>
      <w:lvlJc w:val="left"/>
      <w:pPr>
        <w:tabs>
          <w:tab w:val="num" w:pos="4320"/>
        </w:tabs>
        <w:ind w:left="4320" w:hanging="360"/>
      </w:pPr>
      <w:rPr>
        <w:rFonts w:ascii="Times New Roman" w:hAnsi="Times New Roman" w:hint="default"/>
      </w:rPr>
    </w:lvl>
    <w:lvl w:ilvl="6" w:tplc="76DAF018" w:tentative="1">
      <w:start w:val="1"/>
      <w:numFmt w:val="bullet"/>
      <w:lvlText w:val="•"/>
      <w:lvlJc w:val="left"/>
      <w:pPr>
        <w:tabs>
          <w:tab w:val="num" w:pos="5040"/>
        </w:tabs>
        <w:ind w:left="5040" w:hanging="360"/>
      </w:pPr>
      <w:rPr>
        <w:rFonts w:ascii="Times New Roman" w:hAnsi="Times New Roman" w:hint="default"/>
      </w:rPr>
    </w:lvl>
    <w:lvl w:ilvl="7" w:tplc="56C09560" w:tentative="1">
      <w:start w:val="1"/>
      <w:numFmt w:val="bullet"/>
      <w:lvlText w:val="•"/>
      <w:lvlJc w:val="left"/>
      <w:pPr>
        <w:tabs>
          <w:tab w:val="num" w:pos="5760"/>
        </w:tabs>
        <w:ind w:left="5760" w:hanging="360"/>
      </w:pPr>
      <w:rPr>
        <w:rFonts w:ascii="Times New Roman" w:hAnsi="Times New Roman" w:hint="default"/>
      </w:rPr>
    </w:lvl>
    <w:lvl w:ilvl="8" w:tplc="F1BE8E7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C701A36"/>
    <w:multiLevelType w:val="hybridMultilevel"/>
    <w:tmpl w:val="8EB8D09C"/>
    <w:lvl w:ilvl="0" w:tplc="A2C63448">
      <w:start w:val="1"/>
      <w:numFmt w:val="bullet"/>
      <w:lvlText w:val="•"/>
      <w:lvlJc w:val="left"/>
      <w:pPr>
        <w:tabs>
          <w:tab w:val="num" w:pos="720"/>
        </w:tabs>
        <w:ind w:left="720" w:hanging="360"/>
      </w:pPr>
      <w:rPr>
        <w:rFonts w:ascii="Times New Roman" w:hAnsi="Times New Roman" w:hint="default"/>
      </w:rPr>
    </w:lvl>
    <w:lvl w:ilvl="1" w:tplc="207CA3C4" w:tentative="1">
      <w:start w:val="1"/>
      <w:numFmt w:val="bullet"/>
      <w:lvlText w:val="•"/>
      <w:lvlJc w:val="left"/>
      <w:pPr>
        <w:tabs>
          <w:tab w:val="num" w:pos="1440"/>
        </w:tabs>
        <w:ind w:left="1440" w:hanging="360"/>
      </w:pPr>
      <w:rPr>
        <w:rFonts w:ascii="Times New Roman" w:hAnsi="Times New Roman" w:hint="default"/>
      </w:rPr>
    </w:lvl>
    <w:lvl w:ilvl="2" w:tplc="2D72E8C0" w:tentative="1">
      <w:start w:val="1"/>
      <w:numFmt w:val="bullet"/>
      <w:lvlText w:val="•"/>
      <w:lvlJc w:val="left"/>
      <w:pPr>
        <w:tabs>
          <w:tab w:val="num" w:pos="2160"/>
        </w:tabs>
        <w:ind w:left="2160" w:hanging="360"/>
      </w:pPr>
      <w:rPr>
        <w:rFonts w:ascii="Times New Roman" w:hAnsi="Times New Roman" w:hint="default"/>
      </w:rPr>
    </w:lvl>
    <w:lvl w:ilvl="3" w:tplc="B1545786" w:tentative="1">
      <w:start w:val="1"/>
      <w:numFmt w:val="bullet"/>
      <w:lvlText w:val="•"/>
      <w:lvlJc w:val="left"/>
      <w:pPr>
        <w:tabs>
          <w:tab w:val="num" w:pos="2880"/>
        </w:tabs>
        <w:ind w:left="2880" w:hanging="360"/>
      </w:pPr>
      <w:rPr>
        <w:rFonts w:ascii="Times New Roman" w:hAnsi="Times New Roman" w:hint="default"/>
      </w:rPr>
    </w:lvl>
    <w:lvl w:ilvl="4" w:tplc="3074602A" w:tentative="1">
      <w:start w:val="1"/>
      <w:numFmt w:val="bullet"/>
      <w:lvlText w:val="•"/>
      <w:lvlJc w:val="left"/>
      <w:pPr>
        <w:tabs>
          <w:tab w:val="num" w:pos="3600"/>
        </w:tabs>
        <w:ind w:left="3600" w:hanging="360"/>
      </w:pPr>
      <w:rPr>
        <w:rFonts w:ascii="Times New Roman" w:hAnsi="Times New Roman" w:hint="default"/>
      </w:rPr>
    </w:lvl>
    <w:lvl w:ilvl="5" w:tplc="BD2A72F4" w:tentative="1">
      <w:start w:val="1"/>
      <w:numFmt w:val="bullet"/>
      <w:lvlText w:val="•"/>
      <w:lvlJc w:val="left"/>
      <w:pPr>
        <w:tabs>
          <w:tab w:val="num" w:pos="4320"/>
        </w:tabs>
        <w:ind w:left="4320" w:hanging="360"/>
      </w:pPr>
      <w:rPr>
        <w:rFonts w:ascii="Times New Roman" w:hAnsi="Times New Roman" w:hint="default"/>
      </w:rPr>
    </w:lvl>
    <w:lvl w:ilvl="6" w:tplc="8B8E52B8" w:tentative="1">
      <w:start w:val="1"/>
      <w:numFmt w:val="bullet"/>
      <w:lvlText w:val="•"/>
      <w:lvlJc w:val="left"/>
      <w:pPr>
        <w:tabs>
          <w:tab w:val="num" w:pos="5040"/>
        </w:tabs>
        <w:ind w:left="5040" w:hanging="360"/>
      </w:pPr>
      <w:rPr>
        <w:rFonts w:ascii="Times New Roman" w:hAnsi="Times New Roman" w:hint="default"/>
      </w:rPr>
    </w:lvl>
    <w:lvl w:ilvl="7" w:tplc="D2D61942" w:tentative="1">
      <w:start w:val="1"/>
      <w:numFmt w:val="bullet"/>
      <w:lvlText w:val="•"/>
      <w:lvlJc w:val="left"/>
      <w:pPr>
        <w:tabs>
          <w:tab w:val="num" w:pos="5760"/>
        </w:tabs>
        <w:ind w:left="5760" w:hanging="360"/>
      </w:pPr>
      <w:rPr>
        <w:rFonts w:ascii="Times New Roman" w:hAnsi="Times New Roman" w:hint="default"/>
      </w:rPr>
    </w:lvl>
    <w:lvl w:ilvl="8" w:tplc="4268EC5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8D1AB5"/>
    <w:multiLevelType w:val="hybridMultilevel"/>
    <w:tmpl w:val="6D32835E"/>
    <w:lvl w:ilvl="0" w:tplc="48F0767C">
      <w:start w:val="1"/>
      <w:numFmt w:val="bullet"/>
      <w:lvlText w:val=""/>
      <w:lvlJc w:val="left"/>
      <w:pPr>
        <w:tabs>
          <w:tab w:val="num" w:pos="720"/>
        </w:tabs>
        <w:ind w:left="720" w:hanging="360"/>
      </w:pPr>
      <w:rPr>
        <w:rFonts w:ascii="Wingdings" w:hAnsi="Wingdings" w:hint="default"/>
      </w:rPr>
    </w:lvl>
    <w:lvl w:ilvl="1" w:tplc="FA8A21DA">
      <w:start w:val="1"/>
      <w:numFmt w:val="bullet"/>
      <w:lvlText w:val=""/>
      <w:lvlJc w:val="left"/>
      <w:pPr>
        <w:tabs>
          <w:tab w:val="num" w:pos="1440"/>
        </w:tabs>
        <w:ind w:left="1440" w:hanging="360"/>
      </w:pPr>
      <w:rPr>
        <w:rFonts w:ascii="Wingdings" w:hAnsi="Wingdings" w:hint="default"/>
      </w:rPr>
    </w:lvl>
    <w:lvl w:ilvl="2" w:tplc="F33615CA" w:tentative="1">
      <w:start w:val="1"/>
      <w:numFmt w:val="bullet"/>
      <w:lvlText w:val=""/>
      <w:lvlJc w:val="left"/>
      <w:pPr>
        <w:tabs>
          <w:tab w:val="num" w:pos="2160"/>
        </w:tabs>
        <w:ind w:left="2160" w:hanging="360"/>
      </w:pPr>
      <w:rPr>
        <w:rFonts w:ascii="Wingdings" w:hAnsi="Wingdings" w:hint="default"/>
      </w:rPr>
    </w:lvl>
    <w:lvl w:ilvl="3" w:tplc="2D5A40C2" w:tentative="1">
      <w:start w:val="1"/>
      <w:numFmt w:val="bullet"/>
      <w:lvlText w:val=""/>
      <w:lvlJc w:val="left"/>
      <w:pPr>
        <w:tabs>
          <w:tab w:val="num" w:pos="2880"/>
        </w:tabs>
        <w:ind w:left="2880" w:hanging="360"/>
      </w:pPr>
      <w:rPr>
        <w:rFonts w:ascii="Wingdings" w:hAnsi="Wingdings" w:hint="default"/>
      </w:rPr>
    </w:lvl>
    <w:lvl w:ilvl="4" w:tplc="AEBE4D3A" w:tentative="1">
      <w:start w:val="1"/>
      <w:numFmt w:val="bullet"/>
      <w:lvlText w:val=""/>
      <w:lvlJc w:val="left"/>
      <w:pPr>
        <w:tabs>
          <w:tab w:val="num" w:pos="3600"/>
        </w:tabs>
        <w:ind w:left="3600" w:hanging="360"/>
      </w:pPr>
      <w:rPr>
        <w:rFonts w:ascii="Wingdings" w:hAnsi="Wingdings" w:hint="default"/>
      </w:rPr>
    </w:lvl>
    <w:lvl w:ilvl="5" w:tplc="2F7C1CC0" w:tentative="1">
      <w:start w:val="1"/>
      <w:numFmt w:val="bullet"/>
      <w:lvlText w:val=""/>
      <w:lvlJc w:val="left"/>
      <w:pPr>
        <w:tabs>
          <w:tab w:val="num" w:pos="4320"/>
        </w:tabs>
        <w:ind w:left="4320" w:hanging="360"/>
      </w:pPr>
      <w:rPr>
        <w:rFonts w:ascii="Wingdings" w:hAnsi="Wingdings" w:hint="default"/>
      </w:rPr>
    </w:lvl>
    <w:lvl w:ilvl="6" w:tplc="6CE64C2A" w:tentative="1">
      <w:start w:val="1"/>
      <w:numFmt w:val="bullet"/>
      <w:lvlText w:val=""/>
      <w:lvlJc w:val="left"/>
      <w:pPr>
        <w:tabs>
          <w:tab w:val="num" w:pos="5040"/>
        </w:tabs>
        <w:ind w:left="5040" w:hanging="360"/>
      </w:pPr>
      <w:rPr>
        <w:rFonts w:ascii="Wingdings" w:hAnsi="Wingdings" w:hint="default"/>
      </w:rPr>
    </w:lvl>
    <w:lvl w:ilvl="7" w:tplc="5AC0D6A6" w:tentative="1">
      <w:start w:val="1"/>
      <w:numFmt w:val="bullet"/>
      <w:lvlText w:val=""/>
      <w:lvlJc w:val="left"/>
      <w:pPr>
        <w:tabs>
          <w:tab w:val="num" w:pos="5760"/>
        </w:tabs>
        <w:ind w:left="5760" w:hanging="360"/>
      </w:pPr>
      <w:rPr>
        <w:rFonts w:ascii="Wingdings" w:hAnsi="Wingdings" w:hint="default"/>
      </w:rPr>
    </w:lvl>
    <w:lvl w:ilvl="8" w:tplc="39F82C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17576"/>
    <w:multiLevelType w:val="hybridMultilevel"/>
    <w:tmpl w:val="EBB4F3DC"/>
    <w:lvl w:ilvl="0" w:tplc="EF1C8F8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F1E39"/>
    <w:multiLevelType w:val="hybridMultilevel"/>
    <w:tmpl w:val="DC5434E0"/>
    <w:lvl w:ilvl="0" w:tplc="0554C8E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41FDC"/>
    <w:multiLevelType w:val="hybridMultilevel"/>
    <w:tmpl w:val="59208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82231"/>
    <w:multiLevelType w:val="hybridMultilevel"/>
    <w:tmpl w:val="EF9E406A"/>
    <w:lvl w:ilvl="0" w:tplc="AE22E00A">
      <w:start w:val="1"/>
      <w:numFmt w:val="bullet"/>
      <w:lvlText w:val="•"/>
      <w:lvlJc w:val="left"/>
      <w:pPr>
        <w:tabs>
          <w:tab w:val="num" w:pos="720"/>
        </w:tabs>
        <w:ind w:left="720" w:hanging="360"/>
      </w:pPr>
      <w:rPr>
        <w:rFonts w:ascii="Times New Roman" w:hAnsi="Times New Roman" w:hint="default"/>
      </w:rPr>
    </w:lvl>
    <w:lvl w:ilvl="1" w:tplc="68BA062A" w:tentative="1">
      <w:start w:val="1"/>
      <w:numFmt w:val="bullet"/>
      <w:lvlText w:val="•"/>
      <w:lvlJc w:val="left"/>
      <w:pPr>
        <w:tabs>
          <w:tab w:val="num" w:pos="1440"/>
        </w:tabs>
        <w:ind w:left="1440" w:hanging="360"/>
      </w:pPr>
      <w:rPr>
        <w:rFonts w:ascii="Times New Roman" w:hAnsi="Times New Roman" w:hint="default"/>
      </w:rPr>
    </w:lvl>
    <w:lvl w:ilvl="2" w:tplc="BF0019C6" w:tentative="1">
      <w:start w:val="1"/>
      <w:numFmt w:val="bullet"/>
      <w:lvlText w:val="•"/>
      <w:lvlJc w:val="left"/>
      <w:pPr>
        <w:tabs>
          <w:tab w:val="num" w:pos="2160"/>
        </w:tabs>
        <w:ind w:left="2160" w:hanging="360"/>
      </w:pPr>
      <w:rPr>
        <w:rFonts w:ascii="Times New Roman" w:hAnsi="Times New Roman" w:hint="default"/>
      </w:rPr>
    </w:lvl>
    <w:lvl w:ilvl="3" w:tplc="0298CE50" w:tentative="1">
      <w:start w:val="1"/>
      <w:numFmt w:val="bullet"/>
      <w:lvlText w:val="•"/>
      <w:lvlJc w:val="left"/>
      <w:pPr>
        <w:tabs>
          <w:tab w:val="num" w:pos="2880"/>
        </w:tabs>
        <w:ind w:left="2880" w:hanging="360"/>
      </w:pPr>
      <w:rPr>
        <w:rFonts w:ascii="Times New Roman" w:hAnsi="Times New Roman" w:hint="default"/>
      </w:rPr>
    </w:lvl>
    <w:lvl w:ilvl="4" w:tplc="4C1AD486" w:tentative="1">
      <w:start w:val="1"/>
      <w:numFmt w:val="bullet"/>
      <w:lvlText w:val="•"/>
      <w:lvlJc w:val="left"/>
      <w:pPr>
        <w:tabs>
          <w:tab w:val="num" w:pos="3600"/>
        </w:tabs>
        <w:ind w:left="3600" w:hanging="360"/>
      </w:pPr>
      <w:rPr>
        <w:rFonts w:ascii="Times New Roman" w:hAnsi="Times New Roman" w:hint="default"/>
      </w:rPr>
    </w:lvl>
    <w:lvl w:ilvl="5" w:tplc="CF7EBE00" w:tentative="1">
      <w:start w:val="1"/>
      <w:numFmt w:val="bullet"/>
      <w:lvlText w:val="•"/>
      <w:lvlJc w:val="left"/>
      <w:pPr>
        <w:tabs>
          <w:tab w:val="num" w:pos="4320"/>
        </w:tabs>
        <w:ind w:left="4320" w:hanging="360"/>
      </w:pPr>
      <w:rPr>
        <w:rFonts w:ascii="Times New Roman" w:hAnsi="Times New Roman" w:hint="default"/>
      </w:rPr>
    </w:lvl>
    <w:lvl w:ilvl="6" w:tplc="A5984C1E" w:tentative="1">
      <w:start w:val="1"/>
      <w:numFmt w:val="bullet"/>
      <w:lvlText w:val="•"/>
      <w:lvlJc w:val="left"/>
      <w:pPr>
        <w:tabs>
          <w:tab w:val="num" w:pos="5040"/>
        </w:tabs>
        <w:ind w:left="5040" w:hanging="360"/>
      </w:pPr>
      <w:rPr>
        <w:rFonts w:ascii="Times New Roman" w:hAnsi="Times New Roman" w:hint="default"/>
      </w:rPr>
    </w:lvl>
    <w:lvl w:ilvl="7" w:tplc="B1E404E2" w:tentative="1">
      <w:start w:val="1"/>
      <w:numFmt w:val="bullet"/>
      <w:lvlText w:val="•"/>
      <w:lvlJc w:val="left"/>
      <w:pPr>
        <w:tabs>
          <w:tab w:val="num" w:pos="5760"/>
        </w:tabs>
        <w:ind w:left="5760" w:hanging="360"/>
      </w:pPr>
      <w:rPr>
        <w:rFonts w:ascii="Times New Roman" w:hAnsi="Times New Roman" w:hint="default"/>
      </w:rPr>
    </w:lvl>
    <w:lvl w:ilvl="8" w:tplc="ADA064C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A7F5D9B"/>
    <w:multiLevelType w:val="hybridMultilevel"/>
    <w:tmpl w:val="CFB283F6"/>
    <w:lvl w:ilvl="0" w:tplc="629C6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F2B57"/>
    <w:multiLevelType w:val="hybridMultilevel"/>
    <w:tmpl w:val="A75A91DC"/>
    <w:lvl w:ilvl="0" w:tplc="4CD4D81A">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053D6"/>
    <w:multiLevelType w:val="hybridMultilevel"/>
    <w:tmpl w:val="DF6233DC"/>
    <w:lvl w:ilvl="0" w:tplc="F744A22A">
      <w:start w:val="1"/>
      <w:numFmt w:val="bullet"/>
      <w:lvlText w:val="•"/>
      <w:lvlJc w:val="left"/>
      <w:pPr>
        <w:tabs>
          <w:tab w:val="num" w:pos="720"/>
        </w:tabs>
        <w:ind w:left="720" w:hanging="360"/>
      </w:pPr>
      <w:rPr>
        <w:rFonts w:ascii="Times New Roman" w:hAnsi="Times New Roman" w:hint="default"/>
      </w:rPr>
    </w:lvl>
    <w:lvl w:ilvl="1" w:tplc="CF463562">
      <w:start w:val="1"/>
      <w:numFmt w:val="bullet"/>
      <w:lvlText w:val="•"/>
      <w:lvlJc w:val="left"/>
      <w:pPr>
        <w:tabs>
          <w:tab w:val="num" w:pos="1440"/>
        </w:tabs>
        <w:ind w:left="1440" w:hanging="360"/>
      </w:pPr>
      <w:rPr>
        <w:rFonts w:ascii="Times New Roman" w:hAnsi="Times New Roman" w:hint="default"/>
      </w:rPr>
    </w:lvl>
    <w:lvl w:ilvl="2" w:tplc="399EB2B4" w:tentative="1">
      <w:start w:val="1"/>
      <w:numFmt w:val="bullet"/>
      <w:lvlText w:val="•"/>
      <w:lvlJc w:val="left"/>
      <w:pPr>
        <w:tabs>
          <w:tab w:val="num" w:pos="2160"/>
        </w:tabs>
        <w:ind w:left="2160" w:hanging="360"/>
      </w:pPr>
      <w:rPr>
        <w:rFonts w:ascii="Times New Roman" w:hAnsi="Times New Roman" w:hint="default"/>
      </w:rPr>
    </w:lvl>
    <w:lvl w:ilvl="3" w:tplc="30D853EE" w:tentative="1">
      <w:start w:val="1"/>
      <w:numFmt w:val="bullet"/>
      <w:lvlText w:val="•"/>
      <w:lvlJc w:val="left"/>
      <w:pPr>
        <w:tabs>
          <w:tab w:val="num" w:pos="2880"/>
        </w:tabs>
        <w:ind w:left="2880" w:hanging="360"/>
      </w:pPr>
      <w:rPr>
        <w:rFonts w:ascii="Times New Roman" w:hAnsi="Times New Roman" w:hint="default"/>
      </w:rPr>
    </w:lvl>
    <w:lvl w:ilvl="4" w:tplc="5248E8AC" w:tentative="1">
      <w:start w:val="1"/>
      <w:numFmt w:val="bullet"/>
      <w:lvlText w:val="•"/>
      <w:lvlJc w:val="left"/>
      <w:pPr>
        <w:tabs>
          <w:tab w:val="num" w:pos="3600"/>
        </w:tabs>
        <w:ind w:left="3600" w:hanging="360"/>
      </w:pPr>
      <w:rPr>
        <w:rFonts w:ascii="Times New Roman" w:hAnsi="Times New Roman" w:hint="default"/>
      </w:rPr>
    </w:lvl>
    <w:lvl w:ilvl="5" w:tplc="CB8E950C" w:tentative="1">
      <w:start w:val="1"/>
      <w:numFmt w:val="bullet"/>
      <w:lvlText w:val="•"/>
      <w:lvlJc w:val="left"/>
      <w:pPr>
        <w:tabs>
          <w:tab w:val="num" w:pos="4320"/>
        </w:tabs>
        <w:ind w:left="4320" w:hanging="360"/>
      </w:pPr>
      <w:rPr>
        <w:rFonts w:ascii="Times New Roman" w:hAnsi="Times New Roman" w:hint="default"/>
      </w:rPr>
    </w:lvl>
    <w:lvl w:ilvl="6" w:tplc="89840132" w:tentative="1">
      <w:start w:val="1"/>
      <w:numFmt w:val="bullet"/>
      <w:lvlText w:val="•"/>
      <w:lvlJc w:val="left"/>
      <w:pPr>
        <w:tabs>
          <w:tab w:val="num" w:pos="5040"/>
        </w:tabs>
        <w:ind w:left="5040" w:hanging="360"/>
      </w:pPr>
      <w:rPr>
        <w:rFonts w:ascii="Times New Roman" w:hAnsi="Times New Roman" w:hint="default"/>
      </w:rPr>
    </w:lvl>
    <w:lvl w:ilvl="7" w:tplc="44225AD0" w:tentative="1">
      <w:start w:val="1"/>
      <w:numFmt w:val="bullet"/>
      <w:lvlText w:val="•"/>
      <w:lvlJc w:val="left"/>
      <w:pPr>
        <w:tabs>
          <w:tab w:val="num" w:pos="5760"/>
        </w:tabs>
        <w:ind w:left="5760" w:hanging="360"/>
      </w:pPr>
      <w:rPr>
        <w:rFonts w:ascii="Times New Roman" w:hAnsi="Times New Roman" w:hint="default"/>
      </w:rPr>
    </w:lvl>
    <w:lvl w:ilvl="8" w:tplc="3D72AB0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9B3AF9"/>
    <w:multiLevelType w:val="hybridMultilevel"/>
    <w:tmpl w:val="324CFBFE"/>
    <w:lvl w:ilvl="0" w:tplc="D1EABC9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21D11"/>
    <w:multiLevelType w:val="hybridMultilevel"/>
    <w:tmpl w:val="324CFBFE"/>
    <w:lvl w:ilvl="0" w:tplc="D1EABC9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40363"/>
    <w:multiLevelType w:val="hybridMultilevel"/>
    <w:tmpl w:val="131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A286C"/>
    <w:multiLevelType w:val="hybridMultilevel"/>
    <w:tmpl w:val="1EE80138"/>
    <w:lvl w:ilvl="0" w:tplc="2D3EE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D6414"/>
    <w:multiLevelType w:val="hybridMultilevel"/>
    <w:tmpl w:val="34D89EA6"/>
    <w:lvl w:ilvl="0" w:tplc="F2C86B20">
      <w:start w:val="1"/>
      <w:numFmt w:val="bullet"/>
      <w:lvlText w:val="•"/>
      <w:lvlJc w:val="left"/>
      <w:pPr>
        <w:tabs>
          <w:tab w:val="num" w:pos="720"/>
        </w:tabs>
        <w:ind w:left="720" w:hanging="360"/>
      </w:pPr>
      <w:rPr>
        <w:rFonts w:ascii="Times New Roman" w:hAnsi="Times New Roman" w:hint="default"/>
      </w:rPr>
    </w:lvl>
    <w:lvl w:ilvl="1" w:tplc="3F004EB0" w:tentative="1">
      <w:start w:val="1"/>
      <w:numFmt w:val="bullet"/>
      <w:lvlText w:val="•"/>
      <w:lvlJc w:val="left"/>
      <w:pPr>
        <w:tabs>
          <w:tab w:val="num" w:pos="1440"/>
        </w:tabs>
        <w:ind w:left="1440" w:hanging="360"/>
      </w:pPr>
      <w:rPr>
        <w:rFonts w:ascii="Times New Roman" w:hAnsi="Times New Roman" w:hint="default"/>
      </w:rPr>
    </w:lvl>
    <w:lvl w:ilvl="2" w:tplc="04BC02EC" w:tentative="1">
      <w:start w:val="1"/>
      <w:numFmt w:val="bullet"/>
      <w:lvlText w:val="•"/>
      <w:lvlJc w:val="left"/>
      <w:pPr>
        <w:tabs>
          <w:tab w:val="num" w:pos="2160"/>
        </w:tabs>
        <w:ind w:left="2160" w:hanging="360"/>
      </w:pPr>
      <w:rPr>
        <w:rFonts w:ascii="Times New Roman" w:hAnsi="Times New Roman" w:hint="default"/>
      </w:rPr>
    </w:lvl>
    <w:lvl w:ilvl="3" w:tplc="99C829F2" w:tentative="1">
      <w:start w:val="1"/>
      <w:numFmt w:val="bullet"/>
      <w:lvlText w:val="•"/>
      <w:lvlJc w:val="left"/>
      <w:pPr>
        <w:tabs>
          <w:tab w:val="num" w:pos="2880"/>
        </w:tabs>
        <w:ind w:left="2880" w:hanging="360"/>
      </w:pPr>
      <w:rPr>
        <w:rFonts w:ascii="Times New Roman" w:hAnsi="Times New Roman" w:hint="default"/>
      </w:rPr>
    </w:lvl>
    <w:lvl w:ilvl="4" w:tplc="ABFEA97C" w:tentative="1">
      <w:start w:val="1"/>
      <w:numFmt w:val="bullet"/>
      <w:lvlText w:val="•"/>
      <w:lvlJc w:val="left"/>
      <w:pPr>
        <w:tabs>
          <w:tab w:val="num" w:pos="3600"/>
        </w:tabs>
        <w:ind w:left="3600" w:hanging="360"/>
      </w:pPr>
      <w:rPr>
        <w:rFonts w:ascii="Times New Roman" w:hAnsi="Times New Roman" w:hint="default"/>
      </w:rPr>
    </w:lvl>
    <w:lvl w:ilvl="5" w:tplc="AACCD70C" w:tentative="1">
      <w:start w:val="1"/>
      <w:numFmt w:val="bullet"/>
      <w:lvlText w:val="•"/>
      <w:lvlJc w:val="left"/>
      <w:pPr>
        <w:tabs>
          <w:tab w:val="num" w:pos="4320"/>
        </w:tabs>
        <w:ind w:left="4320" w:hanging="360"/>
      </w:pPr>
      <w:rPr>
        <w:rFonts w:ascii="Times New Roman" w:hAnsi="Times New Roman" w:hint="default"/>
      </w:rPr>
    </w:lvl>
    <w:lvl w:ilvl="6" w:tplc="68F0387E" w:tentative="1">
      <w:start w:val="1"/>
      <w:numFmt w:val="bullet"/>
      <w:lvlText w:val="•"/>
      <w:lvlJc w:val="left"/>
      <w:pPr>
        <w:tabs>
          <w:tab w:val="num" w:pos="5040"/>
        </w:tabs>
        <w:ind w:left="5040" w:hanging="360"/>
      </w:pPr>
      <w:rPr>
        <w:rFonts w:ascii="Times New Roman" w:hAnsi="Times New Roman" w:hint="default"/>
      </w:rPr>
    </w:lvl>
    <w:lvl w:ilvl="7" w:tplc="970A0184" w:tentative="1">
      <w:start w:val="1"/>
      <w:numFmt w:val="bullet"/>
      <w:lvlText w:val="•"/>
      <w:lvlJc w:val="left"/>
      <w:pPr>
        <w:tabs>
          <w:tab w:val="num" w:pos="5760"/>
        </w:tabs>
        <w:ind w:left="5760" w:hanging="360"/>
      </w:pPr>
      <w:rPr>
        <w:rFonts w:ascii="Times New Roman" w:hAnsi="Times New Roman" w:hint="default"/>
      </w:rPr>
    </w:lvl>
    <w:lvl w:ilvl="8" w:tplc="5DD63D7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EF59AA"/>
    <w:multiLevelType w:val="hybridMultilevel"/>
    <w:tmpl w:val="CA4C4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9"/>
  </w:num>
  <w:num w:numId="4">
    <w:abstractNumId w:val="27"/>
  </w:num>
  <w:num w:numId="5">
    <w:abstractNumId w:val="7"/>
  </w:num>
  <w:num w:numId="6">
    <w:abstractNumId w:val="5"/>
  </w:num>
  <w:num w:numId="7">
    <w:abstractNumId w:val="0"/>
  </w:num>
  <w:num w:numId="8">
    <w:abstractNumId w:val="17"/>
  </w:num>
  <w:num w:numId="9">
    <w:abstractNumId w:val="15"/>
  </w:num>
  <w:num w:numId="10">
    <w:abstractNumId w:val="2"/>
  </w:num>
  <w:num w:numId="11">
    <w:abstractNumId w:val="24"/>
  </w:num>
  <w:num w:numId="12">
    <w:abstractNumId w:val="23"/>
  </w:num>
  <w:num w:numId="13">
    <w:abstractNumId w:val="6"/>
  </w:num>
  <w:num w:numId="14">
    <w:abstractNumId w:val="9"/>
  </w:num>
  <w:num w:numId="15">
    <w:abstractNumId w:val="25"/>
  </w:num>
  <w:num w:numId="16">
    <w:abstractNumId w:val="28"/>
  </w:num>
  <w:num w:numId="17">
    <w:abstractNumId w:val="14"/>
  </w:num>
  <w:num w:numId="18">
    <w:abstractNumId w:val="4"/>
  </w:num>
  <w:num w:numId="19">
    <w:abstractNumId w:val="12"/>
  </w:num>
  <w:num w:numId="20">
    <w:abstractNumId w:val="1"/>
  </w:num>
  <w:num w:numId="21">
    <w:abstractNumId w:val="13"/>
  </w:num>
  <w:num w:numId="22">
    <w:abstractNumId w:val="22"/>
  </w:num>
  <w:num w:numId="23">
    <w:abstractNumId w:val="10"/>
  </w:num>
  <w:num w:numId="24">
    <w:abstractNumId w:val="8"/>
  </w:num>
  <w:num w:numId="25">
    <w:abstractNumId w:val="18"/>
  </w:num>
  <w:num w:numId="26">
    <w:abstractNumId w:val="20"/>
  </w:num>
  <w:num w:numId="27">
    <w:abstractNumId w:val="16"/>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30"/>
    <w:rsid w:val="00015393"/>
    <w:rsid w:val="00021FEA"/>
    <w:rsid w:val="0002398F"/>
    <w:rsid w:val="00031502"/>
    <w:rsid w:val="00032350"/>
    <w:rsid w:val="000354C8"/>
    <w:rsid w:val="00045236"/>
    <w:rsid w:val="000653E5"/>
    <w:rsid w:val="00065476"/>
    <w:rsid w:val="000670C6"/>
    <w:rsid w:val="000713D3"/>
    <w:rsid w:val="00073F0A"/>
    <w:rsid w:val="00095A82"/>
    <w:rsid w:val="000965F8"/>
    <w:rsid w:val="000A354C"/>
    <w:rsid w:val="000B5AFA"/>
    <w:rsid w:val="000E5D12"/>
    <w:rsid w:val="00101AAA"/>
    <w:rsid w:val="00106039"/>
    <w:rsid w:val="00106F83"/>
    <w:rsid w:val="0011441A"/>
    <w:rsid w:val="00121256"/>
    <w:rsid w:val="00123DD6"/>
    <w:rsid w:val="00124407"/>
    <w:rsid w:val="00126EF3"/>
    <w:rsid w:val="00135439"/>
    <w:rsid w:val="00147E42"/>
    <w:rsid w:val="00167B68"/>
    <w:rsid w:val="00185F28"/>
    <w:rsid w:val="001A20A8"/>
    <w:rsid w:val="001C0439"/>
    <w:rsid w:val="001D3E5E"/>
    <w:rsid w:val="001F26ED"/>
    <w:rsid w:val="001F3F2C"/>
    <w:rsid w:val="001F5069"/>
    <w:rsid w:val="00210380"/>
    <w:rsid w:val="00223FF0"/>
    <w:rsid w:val="0022425E"/>
    <w:rsid w:val="00237FB4"/>
    <w:rsid w:val="00262849"/>
    <w:rsid w:val="002732A9"/>
    <w:rsid w:val="00275CEE"/>
    <w:rsid w:val="00275F63"/>
    <w:rsid w:val="002841A2"/>
    <w:rsid w:val="002A7CD0"/>
    <w:rsid w:val="002D0E2A"/>
    <w:rsid w:val="002E14C0"/>
    <w:rsid w:val="002E727E"/>
    <w:rsid w:val="00302A2F"/>
    <w:rsid w:val="003104E4"/>
    <w:rsid w:val="003370A7"/>
    <w:rsid w:val="00351C5A"/>
    <w:rsid w:val="00361C9D"/>
    <w:rsid w:val="00366A1A"/>
    <w:rsid w:val="003706EA"/>
    <w:rsid w:val="003754CF"/>
    <w:rsid w:val="0038368D"/>
    <w:rsid w:val="003D1224"/>
    <w:rsid w:val="003D641C"/>
    <w:rsid w:val="003D6F9D"/>
    <w:rsid w:val="003F2780"/>
    <w:rsid w:val="00407173"/>
    <w:rsid w:val="00415EE6"/>
    <w:rsid w:val="00420733"/>
    <w:rsid w:val="00422595"/>
    <w:rsid w:val="004300DD"/>
    <w:rsid w:val="00447D20"/>
    <w:rsid w:val="00453768"/>
    <w:rsid w:val="00462236"/>
    <w:rsid w:val="0047122E"/>
    <w:rsid w:val="00487306"/>
    <w:rsid w:val="004908CF"/>
    <w:rsid w:val="00492B02"/>
    <w:rsid w:val="00493732"/>
    <w:rsid w:val="00494417"/>
    <w:rsid w:val="004B4FFD"/>
    <w:rsid w:val="004B6330"/>
    <w:rsid w:val="004D4848"/>
    <w:rsid w:val="004E0C34"/>
    <w:rsid w:val="004F2D63"/>
    <w:rsid w:val="004F4C1D"/>
    <w:rsid w:val="005035FE"/>
    <w:rsid w:val="00504355"/>
    <w:rsid w:val="00504430"/>
    <w:rsid w:val="0051072B"/>
    <w:rsid w:val="00510EA5"/>
    <w:rsid w:val="005304C2"/>
    <w:rsid w:val="00534092"/>
    <w:rsid w:val="00552B67"/>
    <w:rsid w:val="00557FCC"/>
    <w:rsid w:val="005633E2"/>
    <w:rsid w:val="00573C6F"/>
    <w:rsid w:val="00575948"/>
    <w:rsid w:val="005B6CDE"/>
    <w:rsid w:val="005E5DCF"/>
    <w:rsid w:val="00611BEE"/>
    <w:rsid w:val="00646D78"/>
    <w:rsid w:val="00652ED7"/>
    <w:rsid w:val="00664EC6"/>
    <w:rsid w:val="00671808"/>
    <w:rsid w:val="00676BE2"/>
    <w:rsid w:val="00677E6C"/>
    <w:rsid w:val="006A1BDE"/>
    <w:rsid w:val="006B50ED"/>
    <w:rsid w:val="006C4D31"/>
    <w:rsid w:val="006D31B0"/>
    <w:rsid w:val="006D31F3"/>
    <w:rsid w:val="006E2BC3"/>
    <w:rsid w:val="006F2E8A"/>
    <w:rsid w:val="006F644E"/>
    <w:rsid w:val="006F7BFB"/>
    <w:rsid w:val="00707BC8"/>
    <w:rsid w:val="00717FA4"/>
    <w:rsid w:val="007219DD"/>
    <w:rsid w:val="00721C90"/>
    <w:rsid w:val="007350EB"/>
    <w:rsid w:val="00741DA6"/>
    <w:rsid w:val="00744FA9"/>
    <w:rsid w:val="007651D0"/>
    <w:rsid w:val="0076732A"/>
    <w:rsid w:val="00772499"/>
    <w:rsid w:val="00781761"/>
    <w:rsid w:val="007817EE"/>
    <w:rsid w:val="0078390F"/>
    <w:rsid w:val="007867E6"/>
    <w:rsid w:val="007A6276"/>
    <w:rsid w:val="007A73EC"/>
    <w:rsid w:val="007A788D"/>
    <w:rsid w:val="007B71C9"/>
    <w:rsid w:val="007C76D0"/>
    <w:rsid w:val="007E357D"/>
    <w:rsid w:val="007F7087"/>
    <w:rsid w:val="0080304B"/>
    <w:rsid w:val="00823FF7"/>
    <w:rsid w:val="00824E88"/>
    <w:rsid w:val="00834BC5"/>
    <w:rsid w:val="008401B5"/>
    <w:rsid w:val="00851B0E"/>
    <w:rsid w:val="00855FCA"/>
    <w:rsid w:val="00860D40"/>
    <w:rsid w:val="008929D7"/>
    <w:rsid w:val="00895FAC"/>
    <w:rsid w:val="008A32C5"/>
    <w:rsid w:val="008A38EA"/>
    <w:rsid w:val="008B3A5F"/>
    <w:rsid w:val="008E37AB"/>
    <w:rsid w:val="008E45E8"/>
    <w:rsid w:val="009167AC"/>
    <w:rsid w:val="0094619F"/>
    <w:rsid w:val="009462A5"/>
    <w:rsid w:val="009878A8"/>
    <w:rsid w:val="009C77FB"/>
    <w:rsid w:val="009D0A68"/>
    <w:rsid w:val="009D5073"/>
    <w:rsid w:val="009D7D54"/>
    <w:rsid w:val="009E3650"/>
    <w:rsid w:val="00A00E7D"/>
    <w:rsid w:val="00A148A8"/>
    <w:rsid w:val="00A20879"/>
    <w:rsid w:val="00A364ED"/>
    <w:rsid w:val="00A41F84"/>
    <w:rsid w:val="00A67030"/>
    <w:rsid w:val="00A76B20"/>
    <w:rsid w:val="00A81DD2"/>
    <w:rsid w:val="00A92079"/>
    <w:rsid w:val="00A92CED"/>
    <w:rsid w:val="00AA075B"/>
    <w:rsid w:val="00AA5CC9"/>
    <w:rsid w:val="00AB484F"/>
    <w:rsid w:val="00AC3175"/>
    <w:rsid w:val="00AC351D"/>
    <w:rsid w:val="00AC6622"/>
    <w:rsid w:val="00AE4F96"/>
    <w:rsid w:val="00AF284F"/>
    <w:rsid w:val="00B11ED1"/>
    <w:rsid w:val="00B220E0"/>
    <w:rsid w:val="00B23D00"/>
    <w:rsid w:val="00B45FF3"/>
    <w:rsid w:val="00B46ACF"/>
    <w:rsid w:val="00B51F61"/>
    <w:rsid w:val="00B53682"/>
    <w:rsid w:val="00B64E44"/>
    <w:rsid w:val="00B869EB"/>
    <w:rsid w:val="00BA697D"/>
    <w:rsid w:val="00BB3604"/>
    <w:rsid w:val="00BB3A4D"/>
    <w:rsid w:val="00BC6504"/>
    <w:rsid w:val="00BD5116"/>
    <w:rsid w:val="00BF6B5C"/>
    <w:rsid w:val="00C07EF5"/>
    <w:rsid w:val="00C139FA"/>
    <w:rsid w:val="00C276E1"/>
    <w:rsid w:val="00C33B3A"/>
    <w:rsid w:val="00C5079E"/>
    <w:rsid w:val="00C53175"/>
    <w:rsid w:val="00C878CE"/>
    <w:rsid w:val="00C87F7F"/>
    <w:rsid w:val="00CA3359"/>
    <w:rsid w:val="00CA4073"/>
    <w:rsid w:val="00CA7013"/>
    <w:rsid w:val="00CB54AA"/>
    <w:rsid w:val="00CB7407"/>
    <w:rsid w:val="00CB7D89"/>
    <w:rsid w:val="00CC3655"/>
    <w:rsid w:val="00CD5C13"/>
    <w:rsid w:val="00D024A3"/>
    <w:rsid w:val="00D41E22"/>
    <w:rsid w:val="00D52E15"/>
    <w:rsid w:val="00D54877"/>
    <w:rsid w:val="00D54B51"/>
    <w:rsid w:val="00D5642A"/>
    <w:rsid w:val="00D73C0C"/>
    <w:rsid w:val="00D9518F"/>
    <w:rsid w:val="00DA0F02"/>
    <w:rsid w:val="00DA22DF"/>
    <w:rsid w:val="00DB0F22"/>
    <w:rsid w:val="00DB129F"/>
    <w:rsid w:val="00DB215B"/>
    <w:rsid w:val="00DC6B97"/>
    <w:rsid w:val="00DE270D"/>
    <w:rsid w:val="00DE2721"/>
    <w:rsid w:val="00E00271"/>
    <w:rsid w:val="00E43BD7"/>
    <w:rsid w:val="00E658C1"/>
    <w:rsid w:val="00E81072"/>
    <w:rsid w:val="00E91E2D"/>
    <w:rsid w:val="00EB65C9"/>
    <w:rsid w:val="00EC38F2"/>
    <w:rsid w:val="00EE03D5"/>
    <w:rsid w:val="00EF33AF"/>
    <w:rsid w:val="00F2287F"/>
    <w:rsid w:val="00F31C6C"/>
    <w:rsid w:val="00F35021"/>
    <w:rsid w:val="00F570EA"/>
    <w:rsid w:val="00F81B76"/>
    <w:rsid w:val="00F91721"/>
    <w:rsid w:val="00F9599D"/>
    <w:rsid w:val="00FA3146"/>
    <w:rsid w:val="00FB3AF2"/>
    <w:rsid w:val="00FB6274"/>
    <w:rsid w:val="00FE2052"/>
    <w:rsid w:val="00FE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D9DD01-4D1D-4425-BCBF-21A43DF3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7EE"/>
    <w:pPr>
      <w:spacing w:after="0"/>
    </w:pPr>
    <w:rPr>
      <w:rFonts w:ascii="Times New Roman" w:hAnsi="Times New Roman" w:cs="Times New Roman"/>
      <w:sz w:val="24"/>
      <w:szCs w:val="24"/>
    </w:rPr>
  </w:style>
  <w:style w:type="paragraph" w:styleId="Heading1">
    <w:name w:val="heading 1"/>
    <w:basedOn w:val="Normal"/>
    <w:link w:val="Heading1Char"/>
    <w:uiPriority w:val="9"/>
    <w:qFormat/>
    <w:rsid w:val="00851B0E"/>
    <w:pPr>
      <w:jc w:val="center"/>
      <w:outlineLvl w:val="0"/>
    </w:pPr>
    <w:rPr>
      <w:b/>
      <w:sz w:val="28"/>
      <w:szCs w:val="28"/>
    </w:rPr>
  </w:style>
  <w:style w:type="paragraph" w:styleId="Heading2">
    <w:name w:val="heading 2"/>
    <w:basedOn w:val="ListParagraph"/>
    <w:next w:val="Normal"/>
    <w:link w:val="Heading2Char"/>
    <w:uiPriority w:val="9"/>
    <w:unhideWhenUsed/>
    <w:qFormat/>
    <w:rsid w:val="00851B0E"/>
    <w:pPr>
      <w:numPr>
        <w:numId w:val="29"/>
      </w:numPr>
      <w:jc w:val="center"/>
      <w:outlineLvl w:val="1"/>
    </w:pPr>
    <w:rPr>
      <w:b/>
    </w:rPr>
  </w:style>
  <w:style w:type="paragraph" w:styleId="Heading3">
    <w:name w:val="heading 3"/>
    <w:basedOn w:val="ListParagraph"/>
    <w:next w:val="Normal"/>
    <w:link w:val="Heading3Char"/>
    <w:uiPriority w:val="9"/>
    <w:unhideWhenUsed/>
    <w:qFormat/>
    <w:rsid w:val="00851B0E"/>
    <w:pPr>
      <w:ind w:left="36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67030"/>
    <w:pPr>
      <w:spacing w:line="240" w:lineRule="auto"/>
    </w:pPr>
    <w:rPr>
      <w:sz w:val="20"/>
      <w:szCs w:val="20"/>
    </w:rPr>
  </w:style>
  <w:style w:type="character" w:customStyle="1" w:styleId="EndnoteTextChar">
    <w:name w:val="Endnote Text Char"/>
    <w:basedOn w:val="DefaultParagraphFont"/>
    <w:link w:val="EndnoteText"/>
    <w:uiPriority w:val="99"/>
    <w:rsid w:val="00A67030"/>
    <w:rPr>
      <w:sz w:val="20"/>
      <w:szCs w:val="20"/>
    </w:rPr>
  </w:style>
  <w:style w:type="character" w:styleId="EndnoteReference">
    <w:name w:val="endnote reference"/>
    <w:basedOn w:val="DefaultParagraphFont"/>
    <w:uiPriority w:val="99"/>
    <w:semiHidden/>
    <w:unhideWhenUsed/>
    <w:rsid w:val="00A67030"/>
    <w:rPr>
      <w:vertAlign w:val="superscript"/>
    </w:rPr>
  </w:style>
  <w:style w:type="character" w:customStyle="1" w:styleId="Heading1Char">
    <w:name w:val="Heading 1 Char"/>
    <w:basedOn w:val="DefaultParagraphFont"/>
    <w:link w:val="Heading1"/>
    <w:uiPriority w:val="9"/>
    <w:rsid w:val="00851B0E"/>
    <w:rPr>
      <w:rFonts w:ascii="Times New Roman" w:hAnsi="Times New Roman" w:cs="Times New Roman"/>
      <w:b/>
      <w:sz w:val="28"/>
      <w:szCs w:val="28"/>
    </w:rPr>
  </w:style>
  <w:style w:type="character" w:styleId="Hyperlink">
    <w:name w:val="Hyperlink"/>
    <w:basedOn w:val="DefaultParagraphFont"/>
    <w:uiPriority w:val="99"/>
    <w:unhideWhenUsed/>
    <w:rsid w:val="00415EE6"/>
    <w:rPr>
      <w:color w:val="0000FF" w:themeColor="hyperlink"/>
      <w:u w:val="single"/>
    </w:rPr>
  </w:style>
  <w:style w:type="paragraph" w:styleId="ListParagraph">
    <w:name w:val="List Paragraph"/>
    <w:basedOn w:val="Normal"/>
    <w:uiPriority w:val="34"/>
    <w:qFormat/>
    <w:rsid w:val="004F2D63"/>
    <w:pPr>
      <w:ind w:left="720"/>
      <w:contextualSpacing/>
    </w:pPr>
  </w:style>
  <w:style w:type="character" w:styleId="Emphasis">
    <w:name w:val="Emphasis"/>
    <w:basedOn w:val="DefaultParagraphFont"/>
    <w:uiPriority w:val="20"/>
    <w:qFormat/>
    <w:rsid w:val="00AA075B"/>
    <w:rPr>
      <w:i/>
      <w:iCs/>
    </w:rPr>
  </w:style>
  <w:style w:type="paragraph" w:styleId="NormalWeb">
    <w:name w:val="Normal (Web)"/>
    <w:basedOn w:val="Normal"/>
    <w:uiPriority w:val="99"/>
    <w:semiHidden/>
    <w:unhideWhenUsed/>
    <w:rsid w:val="00D9518F"/>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51B0E"/>
    <w:rPr>
      <w:rFonts w:ascii="Times New Roman" w:hAnsi="Times New Roman" w:cs="Times New Roman"/>
      <w:b/>
      <w:i/>
      <w:sz w:val="24"/>
      <w:szCs w:val="24"/>
    </w:rPr>
  </w:style>
  <w:style w:type="character" w:styleId="CommentReference">
    <w:name w:val="annotation reference"/>
    <w:basedOn w:val="DefaultParagraphFont"/>
    <w:uiPriority w:val="99"/>
    <w:semiHidden/>
    <w:unhideWhenUsed/>
    <w:rsid w:val="00185F28"/>
    <w:rPr>
      <w:sz w:val="16"/>
      <w:szCs w:val="16"/>
    </w:rPr>
  </w:style>
  <w:style w:type="paragraph" w:styleId="CommentText">
    <w:name w:val="annotation text"/>
    <w:basedOn w:val="Normal"/>
    <w:link w:val="CommentTextChar"/>
    <w:uiPriority w:val="99"/>
    <w:semiHidden/>
    <w:unhideWhenUsed/>
    <w:rsid w:val="00185F28"/>
    <w:pPr>
      <w:spacing w:line="240" w:lineRule="auto"/>
    </w:pPr>
    <w:rPr>
      <w:sz w:val="20"/>
      <w:szCs w:val="20"/>
    </w:rPr>
  </w:style>
  <w:style w:type="character" w:customStyle="1" w:styleId="CommentTextChar">
    <w:name w:val="Comment Text Char"/>
    <w:basedOn w:val="DefaultParagraphFont"/>
    <w:link w:val="CommentText"/>
    <w:uiPriority w:val="99"/>
    <w:semiHidden/>
    <w:rsid w:val="00185F28"/>
    <w:rPr>
      <w:sz w:val="20"/>
      <w:szCs w:val="20"/>
    </w:rPr>
  </w:style>
  <w:style w:type="paragraph" w:styleId="CommentSubject">
    <w:name w:val="annotation subject"/>
    <w:basedOn w:val="CommentText"/>
    <w:next w:val="CommentText"/>
    <w:link w:val="CommentSubjectChar"/>
    <w:uiPriority w:val="99"/>
    <w:semiHidden/>
    <w:unhideWhenUsed/>
    <w:rsid w:val="00185F28"/>
    <w:rPr>
      <w:b/>
      <w:bCs/>
    </w:rPr>
  </w:style>
  <w:style w:type="character" w:customStyle="1" w:styleId="CommentSubjectChar">
    <w:name w:val="Comment Subject Char"/>
    <w:basedOn w:val="CommentTextChar"/>
    <w:link w:val="CommentSubject"/>
    <w:uiPriority w:val="99"/>
    <w:semiHidden/>
    <w:rsid w:val="00185F28"/>
    <w:rPr>
      <w:b/>
      <w:bCs/>
      <w:sz w:val="20"/>
      <w:szCs w:val="20"/>
    </w:rPr>
  </w:style>
  <w:style w:type="paragraph" w:styleId="BalloonText">
    <w:name w:val="Balloon Text"/>
    <w:basedOn w:val="Normal"/>
    <w:link w:val="BalloonTextChar"/>
    <w:uiPriority w:val="99"/>
    <w:semiHidden/>
    <w:unhideWhenUsed/>
    <w:rsid w:val="00185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28"/>
    <w:rPr>
      <w:rFonts w:ascii="Tahoma" w:hAnsi="Tahoma" w:cs="Tahoma"/>
      <w:sz w:val="16"/>
      <w:szCs w:val="16"/>
    </w:rPr>
  </w:style>
  <w:style w:type="character" w:customStyle="1" w:styleId="Heading2Char">
    <w:name w:val="Heading 2 Char"/>
    <w:basedOn w:val="DefaultParagraphFont"/>
    <w:link w:val="Heading2"/>
    <w:uiPriority w:val="9"/>
    <w:rsid w:val="00851B0E"/>
    <w:rPr>
      <w:rFonts w:ascii="Times New Roman" w:hAnsi="Times New Roman" w:cs="Times New Roman"/>
      <w:b/>
      <w:sz w:val="24"/>
      <w:szCs w:val="24"/>
    </w:rPr>
  </w:style>
  <w:style w:type="paragraph" w:styleId="NoSpacing">
    <w:name w:val="No Spacing"/>
    <w:uiPriority w:val="1"/>
    <w:qFormat/>
    <w:rsid w:val="007A6276"/>
    <w:pPr>
      <w:spacing w:after="0" w:line="240" w:lineRule="auto"/>
    </w:pPr>
  </w:style>
  <w:style w:type="character" w:styleId="UnresolvedMention">
    <w:name w:val="Unresolved Mention"/>
    <w:basedOn w:val="DefaultParagraphFont"/>
    <w:uiPriority w:val="99"/>
    <w:semiHidden/>
    <w:unhideWhenUsed/>
    <w:rsid w:val="007A6276"/>
    <w:rPr>
      <w:color w:val="808080"/>
      <w:shd w:val="clear" w:color="auto" w:fill="E6E6E6"/>
    </w:rPr>
  </w:style>
  <w:style w:type="paragraph" w:styleId="Header">
    <w:name w:val="header"/>
    <w:basedOn w:val="Normal"/>
    <w:link w:val="HeaderChar"/>
    <w:uiPriority w:val="99"/>
    <w:unhideWhenUsed/>
    <w:rsid w:val="004908CF"/>
    <w:pPr>
      <w:tabs>
        <w:tab w:val="center" w:pos="4680"/>
        <w:tab w:val="right" w:pos="9360"/>
      </w:tabs>
      <w:spacing w:line="240" w:lineRule="auto"/>
    </w:pPr>
  </w:style>
  <w:style w:type="character" w:customStyle="1" w:styleId="HeaderChar">
    <w:name w:val="Header Char"/>
    <w:basedOn w:val="DefaultParagraphFont"/>
    <w:link w:val="Header"/>
    <w:uiPriority w:val="99"/>
    <w:rsid w:val="004908CF"/>
  </w:style>
  <w:style w:type="paragraph" w:styleId="Footer">
    <w:name w:val="footer"/>
    <w:basedOn w:val="Normal"/>
    <w:link w:val="FooterChar"/>
    <w:unhideWhenUsed/>
    <w:rsid w:val="004908CF"/>
    <w:pPr>
      <w:tabs>
        <w:tab w:val="center" w:pos="4680"/>
        <w:tab w:val="right" w:pos="9360"/>
      </w:tabs>
      <w:spacing w:line="240" w:lineRule="auto"/>
    </w:pPr>
  </w:style>
  <w:style w:type="character" w:customStyle="1" w:styleId="FooterChar">
    <w:name w:val="Footer Char"/>
    <w:basedOn w:val="DefaultParagraphFont"/>
    <w:link w:val="Footer"/>
    <w:rsid w:val="0049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59">
      <w:bodyDiv w:val="1"/>
      <w:marLeft w:val="0"/>
      <w:marRight w:val="0"/>
      <w:marTop w:val="0"/>
      <w:marBottom w:val="0"/>
      <w:divBdr>
        <w:top w:val="none" w:sz="0" w:space="0" w:color="auto"/>
        <w:left w:val="none" w:sz="0" w:space="0" w:color="auto"/>
        <w:bottom w:val="none" w:sz="0" w:space="0" w:color="auto"/>
        <w:right w:val="none" w:sz="0" w:space="0" w:color="auto"/>
      </w:divBdr>
    </w:div>
    <w:div w:id="73282375">
      <w:bodyDiv w:val="1"/>
      <w:marLeft w:val="0"/>
      <w:marRight w:val="0"/>
      <w:marTop w:val="0"/>
      <w:marBottom w:val="0"/>
      <w:divBdr>
        <w:top w:val="none" w:sz="0" w:space="0" w:color="auto"/>
        <w:left w:val="none" w:sz="0" w:space="0" w:color="auto"/>
        <w:bottom w:val="none" w:sz="0" w:space="0" w:color="auto"/>
        <w:right w:val="none" w:sz="0" w:space="0" w:color="auto"/>
      </w:divBdr>
      <w:divsChild>
        <w:div w:id="80369620">
          <w:marLeft w:val="547"/>
          <w:marRight w:val="0"/>
          <w:marTop w:val="80"/>
          <w:marBottom w:val="0"/>
          <w:divBdr>
            <w:top w:val="none" w:sz="0" w:space="0" w:color="auto"/>
            <w:left w:val="none" w:sz="0" w:space="0" w:color="auto"/>
            <w:bottom w:val="none" w:sz="0" w:space="0" w:color="auto"/>
            <w:right w:val="none" w:sz="0" w:space="0" w:color="auto"/>
          </w:divBdr>
        </w:div>
      </w:divsChild>
    </w:div>
    <w:div w:id="91367191">
      <w:bodyDiv w:val="1"/>
      <w:marLeft w:val="0"/>
      <w:marRight w:val="0"/>
      <w:marTop w:val="0"/>
      <w:marBottom w:val="0"/>
      <w:divBdr>
        <w:top w:val="none" w:sz="0" w:space="0" w:color="auto"/>
        <w:left w:val="none" w:sz="0" w:space="0" w:color="auto"/>
        <w:bottom w:val="none" w:sz="0" w:space="0" w:color="auto"/>
        <w:right w:val="none" w:sz="0" w:space="0" w:color="auto"/>
      </w:divBdr>
      <w:divsChild>
        <w:div w:id="1019353940">
          <w:marLeft w:val="1166"/>
          <w:marRight w:val="0"/>
          <w:marTop w:val="115"/>
          <w:marBottom w:val="0"/>
          <w:divBdr>
            <w:top w:val="none" w:sz="0" w:space="0" w:color="auto"/>
            <w:left w:val="none" w:sz="0" w:space="0" w:color="auto"/>
            <w:bottom w:val="none" w:sz="0" w:space="0" w:color="auto"/>
            <w:right w:val="none" w:sz="0" w:space="0" w:color="auto"/>
          </w:divBdr>
        </w:div>
      </w:divsChild>
    </w:div>
    <w:div w:id="148636462">
      <w:bodyDiv w:val="1"/>
      <w:marLeft w:val="0"/>
      <w:marRight w:val="0"/>
      <w:marTop w:val="0"/>
      <w:marBottom w:val="0"/>
      <w:divBdr>
        <w:top w:val="none" w:sz="0" w:space="0" w:color="auto"/>
        <w:left w:val="none" w:sz="0" w:space="0" w:color="auto"/>
        <w:bottom w:val="none" w:sz="0" w:space="0" w:color="auto"/>
        <w:right w:val="none" w:sz="0" w:space="0" w:color="auto"/>
      </w:divBdr>
    </w:div>
    <w:div w:id="296378255">
      <w:bodyDiv w:val="1"/>
      <w:marLeft w:val="0"/>
      <w:marRight w:val="0"/>
      <w:marTop w:val="0"/>
      <w:marBottom w:val="0"/>
      <w:divBdr>
        <w:top w:val="none" w:sz="0" w:space="0" w:color="auto"/>
        <w:left w:val="none" w:sz="0" w:space="0" w:color="auto"/>
        <w:bottom w:val="none" w:sz="0" w:space="0" w:color="auto"/>
        <w:right w:val="none" w:sz="0" w:space="0" w:color="auto"/>
      </w:divBdr>
    </w:div>
    <w:div w:id="364183703">
      <w:bodyDiv w:val="1"/>
      <w:marLeft w:val="0"/>
      <w:marRight w:val="0"/>
      <w:marTop w:val="0"/>
      <w:marBottom w:val="0"/>
      <w:divBdr>
        <w:top w:val="none" w:sz="0" w:space="0" w:color="auto"/>
        <w:left w:val="none" w:sz="0" w:space="0" w:color="auto"/>
        <w:bottom w:val="none" w:sz="0" w:space="0" w:color="auto"/>
        <w:right w:val="none" w:sz="0" w:space="0" w:color="auto"/>
      </w:divBdr>
      <w:divsChild>
        <w:div w:id="1063333803">
          <w:marLeft w:val="547"/>
          <w:marRight w:val="0"/>
          <w:marTop w:val="115"/>
          <w:marBottom w:val="0"/>
          <w:divBdr>
            <w:top w:val="none" w:sz="0" w:space="0" w:color="auto"/>
            <w:left w:val="none" w:sz="0" w:space="0" w:color="auto"/>
            <w:bottom w:val="none" w:sz="0" w:space="0" w:color="auto"/>
            <w:right w:val="none" w:sz="0" w:space="0" w:color="auto"/>
          </w:divBdr>
        </w:div>
        <w:div w:id="1277522205">
          <w:marLeft w:val="547"/>
          <w:marRight w:val="0"/>
          <w:marTop w:val="115"/>
          <w:marBottom w:val="0"/>
          <w:divBdr>
            <w:top w:val="none" w:sz="0" w:space="0" w:color="auto"/>
            <w:left w:val="none" w:sz="0" w:space="0" w:color="auto"/>
            <w:bottom w:val="none" w:sz="0" w:space="0" w:color="auto"/>
            <w:right w:val="none" w:sz="0" w:space="0" w:color="auto"/>
          </w:divBdr>
        </w:div>
        <w:div w:id="368188828">
          <w:marLeft w:val="547"/>
          <w:marRight w:val="0"/>
          <w:marTop w:val="115"/>
          <w:marBottom w:val="0"/>
          <w:divBdr>
            <w:top w:val="none" w:sz="0" w:space="0" w:color="auto"/>
            <w:left w:val="none" w:sz="0" w:space="0" w:color="auto"/>
            <w:bottom w:val="none" w:sz="0" w:space="0" w:color="auto"/>
            <w:right w:val="none" w:sz="0" w:space="0" w:color="auto"/>
          </w:divBdr>
        </w:div>
        <w:div w:id="1928730002">
          <w:marLeft w:val="547"/>
          <w:marRight w:val="0"/>
          <w:marTop w:val="115"/>
          <w:marBottom w:val="0"/>
          <w:divBdr>
            <w:top w:val="none" w:sz="0" w:space="0" w:color="auto"/>
            <w:left w:val="none" w:sz="0" w:space="0" w:color="auto"/>
            <w:bottom w:val="none" w:sz="0" w:space="0" w:color="auto"/>
            <w:right w:val="none" w:sz="0" w:space="0" w:color="auto"/>
          </w:divBdr>
        </w:div>
        <w:div w:id="190192176">
          <w:marLeft w:val="547"/>
          <w:marRight w:val="0"/>
          <w:marTop w:val="115"/>
          <w:marBottom w:val="0"/>
          <w:divBdr>
            <w:top w:val="none" w:sz="0" w:space="0" w:color="auto"/>
            <w:left w:val="none" w:sz="0" w:space="0" w:color="auto"/>
            <w:bottom w:val="none" w:sz="0" w:space="0" w:color="auto"/>
            <w:right w:val="none" w:sz="0" w:space="0" w:color="auto"/>
          </w:divBdr>
        </w:div>
        <w:div w:id="862716695">
          <w:marLeft w:val="547"/>
          <w:marRight w:val="0"/>
          <w:marTop w:val="115"/>
          <w:marBottom w:val="0"/>
          <w:divBdr>
            <w:top w:val="none" w:sz="0" w:space="0" w:color="auto"/>
            <w:left w:val="none" w:sz="0" w:space="0" w:color="auto"/>
            <w:bottom w:val="none" w:sz="0" w:space="0" w:color="auto"/>
            <w:right w:val="none" w:sz="0" w:space="0" w:color="auto"/>
          </w:divBdr>
        </w:div>
      </w:divsChild>
    </w:div>
    <w:div w:id="376708339">
      <w:bodyDiv w:val="1"/>
      <w:marLeft w:val="0"/>
      <w:marRight w:val="0"/>
      <w:marTop w:val="0"/>
      <w:marBottom w:val="0"/>
      <w:divBdr>
        <w:top w:val="none" w:sz="0" w:space="0" w:color="auto"/>
        <w:left w:val="none" w:sz="0" w:space="0" w:color="auto"/>
        <w:bottom w:val="none" w:sz="0" w:space="0" w:color="auto"/>
        <w:right w:val="none" w:sz="0" w:space="0" w:color="auto"/>
      </w:divBdr>
      <w:divsChild>
        <w:div w:id="1957177370">
          <w:marLeft w:val="547"/>
          <w:marRight w:val="0"/>
          <w:marTop w:val="115"/>
          <w:marBottom w:val="0"/>
          <w:divBdr>
            <w:top w:val="none" w:sz="0" w:space="0" w:color="auto"/>
            <w:left w:val="none" w:sz="0" w:space="0" w:color="auto"/>
            <w:bottom w:val="none" w:sz="0" w:space="0" w:color="auto"/>
            <w:right w:val="none" w:sz="0" w:space="0" w:color="auto"/>
          </w:divBdr>
        </w:div>
        <w:div w:id="2060518509">
          <w:marLeft w:val="547"/>
          <w:marRight w:val="0"/>
          <w:marTop w:val="115"/>
          <w:marBottom w:val="0"/>
          <w:divBdr>
            <w:top w:val="none" w:sz="0" w:space="0" w:color="auto"/>
            <w:left w:val="none" w:sz="0" w:space="0" w:color="auto"/>
            <w:bottom w:val="none" w:sz="0" w:space="0" w:color="auto"/>
            <w:right w:val="none" w:sz="0" w:space="0" w:color="auto"/>
          </w:divBdr>
        </w:div>
        <w:div w:id="1639602716">
          <w:marLeft w:val="547"/>
          <w:marRight w:val="0"/>
          <w:marTop w:val="115"/>
          <w:marBottom w:val="0"/>
          <w:divBdr>
            <w:top w:val="none" w:sz="0" w:space="0" w:color="auto"/>
            <w:left w:val="none" w:sz="0" w:space="0" w:color="auto"/>
            <w:bottom w:val="none" w:sz="0" w:space="0" w:color="auto"/>
            <w:right w:val="none" w:sz="0" w:space="0" w:color="auto"/>
          </w:divBdr>
        </w:div>
      </w:divsChild>
    </w:div>
    <w:div w:id="436096577">
      <w:bodyDiv w:val="1"/>
      <w:marLeft w:val="0"/>
      <w:marRight w:val="0"/>
      <w:marTop w:val="0"/>
      <w:marBottom w:val="0"/>
      <w:divBdr>
        <w:top w:val="none" w:sz="0" w:space="0" w:color="auto"/>
        <w:left w:val="none" w:sz="0" w:space="0" w:color="auto"/>
        <w:bottom w:val="none" w:sz="0" w:space="0" w:color="auto"/>
        <w:right w:val="none" w:sz="0" w:space="0" w:color="auto"/>
      </w:divBdr>
    </w:div>
    <w:div w:id="464355037">
      <w:bodyDiv w:val="1"/>
      <w:marLeft w:val="0"/>
      <w:marRight w:val="0"/>
      <w:marTop w:val="0"/>
      <w:marBottom w:val="0"/>
      <w:divBdr>
        <w:top w:val="none" w:sz="0" w:space="0" w:color="auto"/>
        <w:left w:val="none" w:sz="0" w:space="0" w:color="auto"/>
        <w:bottom w:val="none" w:sz="0" w:space="0" w:color="auto"/>
        <w:right w:val="none" w:sz="0" w:space="0" w:color="auto"/>
      </w:divBdr>
    </w:div>
    <w:div w:id="533275775">
      <w:bodyDiv w:val="1"/>
      <w:marLeft w:val="0"/>
      <w:marRight w:val="0"/>
      <w:marTop w:val="0"/>
      <w:marBottom w:val="0"/>
      <w:divBdr>
        <w:top w:val="none" w:sz="0" w:space="0" w:color="auto"/>
        <w:left w:val="none" w:sz="0" w:space="0" w:color="auto"/>
        <w:bottom w:val="none" w:sz="0" w:space="0" w:color="auto"/>
        <w:right w:val="none" w:sz="0" w:space="0" w:color="auto"/>
      </w:divBdr>
    </w:div>
    <w:div w:id="559369382">
      <w:bodyDiv w:val="1"/>
      <w:marLeft w:val="0"/>
      <w:marRight w:val="0"/>
      <w:marTop w:val="0"/>
      <w:marBottom w:val="0"/>
      <w:divBdr>
        <w:top w:val="none" w:sz="0" w:space="0" w:color="auto"/>
        <w:left w:val="none" w:sz="0" w:space="0" w:color="auto"/>
        <w:bottom w:val="none" w:sz="0" w:space="0" w:color="auto"/>
        <w:right w:val="none" w:sz="0" w:space="0" w:color="auto"/>
      </w:divBdr>
      <w:divsChild>
        <w:div w:id="830759237">
          <w:marLeft w:val="1166"/>
          <w:marRight w:val="0"/>
          <w:marTop w:val="115"/>
          <w:marBottom w:val="0"/>
          <w:divBdr>
            <w:top w:val="none" w:sz="0" w:space="0" w:color="auto"/>
            <w:left w:val="none" w:sz="0" w:space="0" w:color="auto"/>
            <w:bottom w:val="none" w:sz="0" w:space="0" w:color="auto"/>
            <w:right w:val="none" w:sz="0" w:space="0" w:color="auto"/>
          </w:divBdr>
        </w:div>
        <w:div w:id="654263577">
          <w:marLeft w:val="1166"/>
          <w:marRight w:val="0"/>
          <w:marTop w:val="115"/>
          <w:marBottom w:val="0"/>
          <w:divBdr>
            <w:top w:val="none" w:sz="0" w:space="0" w:color="auto"/>
            <w:left w:val="none" w:sz="0" w:space="0" w:color="auto"/>
            <w:bottom w:val="none" w:sz="0" w:space="0" w:color="auto"/>
            <w:right w:val="none" w:sz="0" w:space="0" w:color="auto"/>
          </w:divBdr>
        </w:div>
        <w:div w:id="1893229314">
          <w:marLeft w:val="1166"/>
          <w:marRight w:val="0"/>
          <w:marTop w:val="115"/>
          <w:marBottom w:val="0"/>
          <w:divBdr>
            <w:top w:val="none" w:sz="0" w:space="0" w:color="auto"/>
            <w:left w:val="none" w:sz="0" w:space="0" w:color="auto"/>
            <w:bottom w:val="none" w:sz="0" w:space="0" w:color="auto"/>
            <w:right w:val="none" w:sz="0" w:space="0" w:color="auto"/>
          </w:divBdr>
        </w:div>
        <w:div w:id="1748533145">
          <w:marLeft w:val="1166"/>
          <w:marRight w:val="0"/>
          <w:marTop w:val="115"/>
          <w:marBottom w:val="0"/>
          <w:divBdr>
            <w:top w:val="none" w:sz="0" w:space="0" w:color="auto"/>
            <w:left w:val="none" w:sz="0" w:space="0" w:color="auto"/>
            <w:bottom w:val="none" w:sz="0" w:space="0" w:color="auto"/>
            <w:right w:val="none" w:sz="0" w:space="0" w:color="auto"/>
          </w:divBdr>
        </w:div>
        <w:div w:id="1120415074">
          <w:marLeft w:val="1166"/>
          <w:marRight w:val="0"/>
          <w:marTop w:val="115"/>
          <w:marBottom w:val="0"/>
          <w:divBdr>
            <w:top w:val="none" w:sz="0" w:space="0" w:color="auto"/>
            <w:left w:val="none" w:sz="0" w:space="0" w:color="auto"/>
            <w:bottom w:val="none" w:sz="0" w:space="0" w:color="auto"/>
            <w:right w:val="none" w:sz="0" w:space="0" w:color="auto"/>
          </w:divBdr>
        </w:div>
      </w:divsChild>
    </w:div>
    <w:div w:id="711345041">
      <w:bodyDiv w:val="1"/>
      <w:marLeft w:val="0"/>
      <w:marRight w:val="0"/>
      <w:marTop w:val="0"/>
      <w:marBottom w:val="0"/>
      <w:divBdr>
        <w:top w:val="none" w:sz="0" w:space="0" w:color="auto"/>
        <w:left w:val="none" w:sz="0" w:space="0" w:color="auto"/>
        <w:bottom w:val="none" w:sz="0" w:space="0" w:color="auto"/>
        <w:right w:val="none" w:sz="0" w:space="0" w:color="auto"/>
      </w:divBdr>
      <w:divsChild>
        <w:div w:id="1557276547">
          <w:marLeft w:val="547"/>
          <w:marRight w:val="0"/>
          <w:marTop w:val="115"/>
          <w:marBottom w:val="0"/>
          <w:divBdr>
            <w:top w:val="none" w:sz="0" w:space="0" w:color="auto"/>
            <w:left w:val="none" w:sz="0" w:space="0" w:color="auto"/>
            <w:bottom w:val="none" w:sz="0" w:space="0" w:color="auto"/>
            <w:right w:val="none" w:sz="0" w:space="0" w:color="auto"/>
          </w:divBdr>
        </w:div>
        <w:div w:id="1935674085">
          <w:marLeft w:val="547"/>
          <w:marRight w:val="0"/>
          <w:marTop w:val="115"/>
          <w:marBottom w:val="0"/>
          <w:divBdr>
            <w:top w:val="none" w:sz="0" w:space="0" w:color="auto"/>
            <w:left w:val="none" w:sz="0" w:space="0" w:color="auto"/>
            <w:bottom w:val="none" w:sz="0" w:space="0" w:color="auto"/>
            <w:right w:val="none" w:sz="0" w:space="0" w:color="auto"/>
          </w:divBdr>
        </w:div>
        <w:div w:id="2112823154">
          <w:marLeft w:val="547"/>
          <w:marRight w:val="0"/>
          <w:marTop w:val="115"/>
          <w:marBottom w:val="0"/>
          <w:divBdr>
            <w:top w:val="none" w:sz="0" w:space="0" w:color="auto"/>
            <w:left w:val="none" w:sz="0" w:space="0" w:color="auto"/>
            <w:bottom w:val="none" w:sz="0" w:space="0" w:color="auto"/>
            <w:right w:val="none" w:sz="0" w:space="0" w:color="auto"/>
          </w:divBdr>
        </w:div>
        <w:div w:id="1800948415">
          <w:marLeft w:val="1166"/>
          <w:marRight w:val="0"/>
          <w:marTop w:val="115"/>
          <w:marBottom w:val="0"/>
          <w:divBdr>
            <w:top w:val="none" w:sz="0" w:space="0" w:color="auto"/>
            <w:left w:val="none" w:sz="0" w:space="0" w:color="auto"/>
            <w:bottom w:val="none" w:sz="0" w:space="0" w:color="auto"/>
            <w:right w:val="none" w:sz="0" w:space="0" w:color="auto"/>
          </w:divBdr>
        </w:div>
        <w:div w:id="789012854">
          <w:marLeft w:val="1166"/>
          <w:marRight w:val="0"/>
          <w:marTop w:val="115"/>
          <w:marBottom w:val="0"/>
          <w:divBdr>
            <w:top w:val="none" w:sz="0" w:space="0" w:color="auto"/>
            <w:left w:val="none" w:sz="0" w:space="0" w:color="auto"/>
            <w:bottom w:val="none" w:sz="0" w:space="0" w:color="auto"/>
            <w:right w:val="none" w:sz="0" w:space="0" w:color="auto"/>
          </w:divBdr>
        </w:div>
        <w:div w:id="342899201">
          <w:marLeft w:val="1166"/>
          <w:marRight w:val="0"/>
          <w:marTop w:val="115"/>
          <w:marBottom w:val="0"/>
          <w:divBdr>
            <w:top w:val="none" w:sz="0" w:space="0" w:color="auto"/>
            <w:left w:val="none" w:sz="0" w:space="0" w:color="auto"/>
            <w:bottom w:val="none" w:sz="0" w:space="0" w:color="auto"/>
            <w:right w:val="none" w:sz="0" w:space="0" w:color="auto"/>
          </w:divBdr>
        </w:div>
        <w:div w:id="1638336679">
          <w:marLeft w:val="1166"/>
          <w:marRight w:val="0"/>
          <w:marTop w:val="115"/>
          <w:marBottom w:val="0"/>
          <w:divBdr>
            <w:top w:val="none" w:sz="0" w:space="0" w:color="auto"/>
            <w:left w:val="none" w:sz="0" w:space="0" w:color="auto"/>
            <w:bottom w:val="none" w:sz="0" w:space="0" w:color="auto"/>
            <w:right w:val="none" w:sz="0" w:space="0" w:color="auto"/>
          </w:divBdr>
        </w:div>
        <w:div w:id="1971550854">
          <w:marLeft w:val="1166"/>
          <w:marRight w:val="0"/>
          <w:marTop w:val="115"/>
          <w:marBottom w:val="0"/>
          <w:divBdr>
            <w:top w:val="none" w:sz="0" w:space="0" w:color="auto"/>
            <w:left w:val="none" w:sz="0" w:space="0" w:color="auto"/>
            <w:bottom w:val="none" w:sz="0" w:space="0" w:color="auto"/>
            <w:right w:val="none" w:sz="0" w:space="0" w:color="auto"/>
          </w:divBdr>
        </w:div>
        <w:div w:id="156113737">
          <w:marLeft w:val="1166"/>
          <w:marRight w:val="0"/>
          <w:marTop w:val="115"/>
          <w:marBottom w:val="0"/>
          <w:divBdr>
            <w:top w:val="none" w:sz="0" w:space="0" w:color="auto"/>
            <w:left w:val="none" w:sz="0" w:space="0" w:color="auto"/>
            <w:bottom w:val="none" w:sz="0" w:space="0" w:color="auto"/>
            <w:right w:val="none" w:sz="0" w:space="0" w:color="auto"/>
          </w:divBdr>
        </w:div>
        <w:div w:id="1466658308">
          <w:marLeft w:val="547"/>
          <w:marRight w:val="0"/>
          <w:marTop w:val="115"/>
          <w:marBottom w:val="0"/>
          <w:divBdr>
            <w:top w:val="none" w:sz="0" w:space="0" w:color="auto"/>
            <w:left w:val="none" w:sz="0" w:space="0" w:color="auto"/>
            <w:bottom w:val="none" w:sz="0" w:space="0" w:color="auto"/>
            <w:right w:val="none" w:sz="0" w:space="0" w:color="auto"/>
          </w:divBdr>
        </w:div>
      </w:divsChild>
    </w:div>
    <w:div w:id="752361311">
      <w:bodyDiv w:val="1"/>
      <w:marLeft w:val="0"/>
      <w:marRight w:val="0"/>
      <w:marTop w:val="0"/>
      <w:marBottom w:val="0"/>
      <w:divBdr>
        <w:top w:val="none" w:sz="0" w:space="0" w:color="auto"/>
        <w:left w:val="none" w:sz="0" w:space="0" w:color="auto"/>
        <w:bottom w:val="none" w:sz="0" w:space="0" w:color="auto"/>
        <w:right w:val="none" w:sz="0" w:space="0" w:color="auto"/>
      </w:divBdr>
    </w:div>
    <w:div w:id="801848986">
      <w:bodyDiv w:val="1"/>
      <w:marLeft w:val="0"/>
      <w:marRight w:val="0"/>
      <w:marTop w:val="0"/>
      <w:marBottom w:val="0"/>
      <w:divBdr>
        <w:top w:val="none" w:sz="0" w:space="0" w:color="auto"/>
        <w:left w:val="none" w:sz="0" w:space="0" w:color="auto"/>
        <w:bottom w:val="none" w:sz="0" w:space="0" w:color="auto"/>
        <w:right w:val="none" w:sz="0" w:space="0" w:color="auto"/>
      </w:divBdr>
      <w:divsChild>
        <w:div w:id="1578058481">
          <w:marLeft w:val="547"/>
          <w:marRight w:val="0"/>
          <w:marTop w:val="80"/>
          <w:marBottom w:val="0"/>
          <w:divBdr>
            <w:top w:val="none" w:sz="0" w:space="0" w:color="auto"/>
            <w:left w:val="none" w:sz="0" w:space="0" w:color="auto"/>
            <w:bottom w:val="none" w:sz="0" w:space="0" w:color="auto"/>
            <w:right w:val="none" w:sz="0" w:space="0" w:color="auto"/>
          </w:divBdr>
        </w:div>
        <w:div w:id="546836341">
          <w:marLeft w:val="547"/>
          <w:marRight w:val="0"/>
          <w:marTop w:val="80"/>
          <w:marBottom w:val="0"/>
          <w:divBdr>
            <w:top w:val="none" w:sz="0" w:space="0" w:color="auto"/>
            <w:left w:val="none" w:sz="0" w:space="0" w:color="auto"/>
            <w:bottom w:val="none" w:sz="0" w:space="0" w:color="auto"/>
            <w:right w:val="none" w:sz="0" w:space="0" w:color="auto"/>
          </w:divBdr>
        </w:div>
        <w:div w:id="2112629280">
          <w:marLeft w:val="547"/>
          <w:marRight w:val="0"/>
          <w:marTop w:val="80"/>
          <w:marBottom w:val="0"/>
          <w:divBdr>
            <w:top w:val="none" w:sz="0" w:space="0" w:color="auto"/>
            <w:left w:val="none" w:sz="0" w:space="0" w:color="auto"/>
            <w:bottom w:val="none" w:sz="0" w:space="0" w:color="auto"/>
            <w:right w:val="none" w:sz="0" w:space="0" w:color="auto"/>
          </w:divBdr>
        </w:div>
        <w:div w:id="511719602">
          <w:marLeft w:val="547"/>
          <w:marRight w:val="0"/>
          <w:marTop w:val="80"/>
          <w:marBottom w:val="0"/>
          <w:divBdr>
            <w:top w:val="none" w:sz="0" w:space="0" w:color="auto"/>
            <w:left w:val="none" w:sz="0" w:space="0" w:color="auto"/>
            <w:bottom w:val="none" w:sz="0" w:space="0" w:color="auto"/>
            <w:right w:val="none" w:sz="0" w:space="0" w:color="auto"/>
          </w:divBdr>
        </w:div>
      </w:divsChild>
    </w:div>
    <w:div w:id="891116454">
      <w:bodyDiv w:val="1"/>
      <w:marLeft w:val="0"/>
      <w:marRight w:val="0"/>
      <w:marTop w:val="0"/>
      <w:marBottom w:val="0"/>
      <w:divBdr>
        <w:top w:val="none" w:sz="0" w:space="0" w:color="auto"/>
        <w:left w:val="none" w:sz="0" w:space="0" w:color="auto"/>
        <w:bottom w:val="none" w:sz="0" w:space="0" w:color="auto"/>
        <w:right w:val="none" w:sz="0" w:space="0" w:color="auto"/>
      </w:divBdr>
      <w:divsChild>
        <w:div w:id="1600916674">
          <w:marLeft w:val="547"/>
          <w:marRight w:val="0"/>
          <w:marTop w:val="80"/>
          <w:marBottom w:val="0"/>
          <w:divBdr>
            <w:top w:val="none" w:sz="0" w:space="0" w:color="auto"/>
            <w:left w:val="none" w:sz="0" w:space="0" w:color="auto"/>
            <w:bottom w:val="none" w:sz="0" w:space="0" w:color="auto"/>
            <w:right w:val="none" w:sz="0" w:space="0" w:color="auto"/>
          </w:divBdr>
        </w:div>
        <w:div w:id="1972787010">
          <w:marLeft w:val="547"/>
          <w:marRight w:val="0"/>
          <w:marTop w:val="80"/>
          <w:marBottom w:val="0"/>
          <w:divBdr>
            <w:top w:val="none" w:sz="0" w:space="0" w:color="auto"/>
            <w:left w:val="none" w:sz="0" w:space="0" w:color="auto"/>
            <w:bottom w:val="none" w:sz="0" w:space="0" w:color="auto"/>
            <w:right w:val="none" w:sz="0" w:space="0" w:color="auto"/>
          </w:divBdr>
        </w:div>
        <w:div w:id="377051903">
          <w:marLeft w:val="547"/>
          <w:marRight w:val="0"/>
          <w:marTop w:val="80"/>
          <w:marBottom w:val="0"/>
          <w:divBdr>
            <w:top w:val="none" w:sz="0" w:space="0" w:color="auto"/>
            <w:left w:val="none" w:sz="0" w:space="0" w:color="auto"/>
            <w:bottom w:val="none" w:sz="0" w:space="0" w:color="auto"/>
            <w:right w:val="none" w:sz="0" w:space="0" w:color="auto"/>
          </w:divBdr>
        </w:div>
        <w:div w:id="273832694">
          <w:marLeft w:val="547"/>
          <w:marRight w:val="0"/>
          <w:marTop w:val="80"/>
          <w:marBottom w:val="0"/>
          <w:divBdr>
            <w:top w:val="none" w:sz="0" w:space="0" w:color="auto"/>
            <w:left w:val="none" w:sz="0" w:space="0" w:color="auto"/>
            <w:bottom w:val="none" w:sz="0" w:space="0" w:color="auto"/>
            <w:right w:val="none" w:sz="0" w:space="0" w:color="auto"/>
          </w:divBdr>
        </w:div>
      </w:divsChild>
    </w:div>
    <w:div w:id="895893907">
      <w:bodyDiv w:val="1"/>
      <w:marLeft w:val="0"/>
      <w:marRight w:val="0"/>
      <w:marTop w:val="0"/>
      <w:marBottom w:val="0"/>
      <w:divBdr>
        <w:top w:val="none" w:sz="0" w:space="0" w:color="auto"/>
        <w:left w:val="none" w:sz="0" w:space="0" w:color="auto"/>
        <w:bottom w:val="none" w:sz="0" w:space="0" w:color="auto"/>
        <w:right w:val="none" w:sz="0" w:space="0" w:color="auto"/>
      </w:divBdr>
    </w:div>
    <w:div w:id="1001809299">
      <w:bodyDiv w:val="1"/>
      <w:marLeft w:val="0"/>
      <w:marRight w:val="0"/>
      <w:marTop w:val="0"/>
      <w:marBottom w:val="0"/>
      <w:divBdr>
        <w:top w:val="none" w:sz="0" w:space="0" w:color="auto"/>
        <w:left w:val="none" w:sz="0" w:space="0" w:color="auto"/>
        <w:bottom w:val="none" w:sz="0" w:space="0" w:color="auto"/>
        <w:right w:val="none" w:sz="0" w:space="0" w:color="auto"/>
      </w:divBdr>
    </w:div>
    <w:div w:id="1036345108">
      <w:bodyDiv w:val="1"/>
      <w:marLeft w:val="0"/>
      <w:marRight w:val="0"/>
      <w:marTop w:val="0"/>
      <w:marBottom w:val="0"/>
      <w:divBdr>
        <w:top w:val="none" w:sz="0" w:space="0" w:color="auto"/>
        <w:left w:val="none" w:sz="0" w:space="0" w:color="auto"/>
        <w:bottom w:val="none" w:sz="0" w:space="0" w:color="auto"/>
        <w:right w:val="none" w:sz="0" w:space="0" w:color="auto"/>
      </w:divBdr>
    </w:div>
    <w:div w:id="1088120410">
      <w:bodyDiv w:val="1"/>
      <w:marLeft w:val="0"/>
      <w:marRight w:val="0"/>
      <w:marTop w:val="0"/>
      <w:marBottom w:val="0"/>
      <w:divBdr>
        <w:top w:val="none" w:sz="0" w:space="0" w:color="auto"/>
        <w:left w:val="none" w:sz="0" w:space="0" w:color="auto"/>
        <w:bottom w:val="none" w:sz="0" w:space="0" w:color="auto"/>
        <w:right w:val="none" w:sz="0" w:space="0" w:color="auto"/>
      </w:divBdr>
    </w:div>
    <w:div w:id="1152524539">
      <w:bodyDiv w:val="1"/>
      <w:marLeft w:val="0"/>
      <w:marRight w:val="0"/>
      <w:marTop w:val="0"/>
      <w:marBottom w:val="0"/>
      <w:divBdr>
        <w:top w:val="none" w:sz="0" w:space="0" w:color="auto"/>
        <w:left w:val="none" w:sz="0" w:space="0" w:color="auto"/>
        <w:bottom w:val="none" w:sz="0" w:space="0" w:color="auto"/>
        <w:right w:val="none" w:sz="0" w:space="0" w:color="auto"/>
      </w:divBdr>
    </w:div>
    <w:div w:id="1180008075">
      <w:bodyDiv w:val="1"/>
      <w:marLeft w:val="0"/>
      <w:marRight w:val="0"/>
      <w:marTop w:val="0"/>
      <w:marBottom w:val="0"/>
      <w:divBdr>
        <w:top w:val="none" w:sz="0" w:space="0" w:color="auto"/>
        <w:left w:val="none" w:sz="0" w:space="0" w:color="auto"/>
        <w:bottom w:val="none" w:sz="0" w:space="0" w:color="auto"/>
        <w:right w:val="none" w:sz="0" w:space="0" w:color="auto"/>
      </w:divBdr>
    </w:div>
    <w:div w:id="1283726550">
      <w:bodyDiv w:val="1"/>
      <w:marLeft w:val="0"/>
      <w:marRight w:val="0"/>
      <w:marTop w:val="0"/>
      <w:marBottom w:val="0"/>
      <w:divBdr>
        <w:top w:val="none" w:sz="0" w:space="0" w:color="auto"/>
        <w:left w:val="none" w:sz="0" w:space="0" w:color="auto"/>
        <w:bottom w:val="none" w:sz="0" w:space="0" w:color="auto"/>
        <w:right w:val="none" w:sz="0" w:space="0" w:color="auto"/>
      </w:divBdr>
    </w:div>
    <w:div w:id="1288853677">
      <w:bodyDiv w:val="1"/>
      <w:marLeft w:val="0"/>
      <w:marRight w:val="0"/>
      <w:marTop w:val="0"/>
      <w:marBottom w:val="0"/>
      <w:divBdr>
        <w:top w:val="none" w:sz="0" w:space="0" w:color="auto"/>
        <w:left w:val="none" w:sz="0" w:space="0" w:color="auto"/>
        <w:bottom w:val="none" w:sz="0" w:space="0" w:color="auto"/>
        <w:right w:val="none" w:sz="0" w:space="0" w:color="auto"/>
      </w:divBdr>
    </w:div>
    <w:div w:id="1412311587">
      <w:bodyDiv w:val="1"/>
      <w:marLeft w:val="0"/>
      <w:marRight w:val="0"/>
      <w:marTop w:val="0"/>
      <w:marBottom w:val="0"/>
      <w:divBdr>
        <w:top w:val="none" w:sz="0" w:space="0" w:color="auto"/>
        <w:left w:val="none" w:sz="0" w:space="0" w:color="auto"/>
        <w:bottom w:val="none" w:sz="0" w:space="0" w:color="auto"/>
        <w:right w:val="none" w:sz="0" w:space="0" w:color="auto"/>
      </w:divBdr>
      <w:divsChild>
        <w:div w:id="1913461978">
          <w:marLeft w:val="1166"/>
          <w:marRight w:val="0"/>
          <w:marTop w:val="115"/>
          <w:marBottom w:val="0"/>
          <w:divBdr>
            <w:top w:val="none" w:sz="0" w:space="0" w:color="auto"/>
            <w:left w:val="none" w:sz="0" w:space="0" w:color="auto"/>
            <w:bottom w:val="none" w:sz="0" w:space="0" w:color="auto"/>
            <w:right w:val="none" w:sz="0" w:space="0" w:color="auto"/>
          </w:divBdr>
        </w:div>
        <w:div w:id="1462306911">
          <w:marLeft w:val="1166"/>
          <w:marRight w:val="0"/>
          <w:marTop w:val="115"/>
          <w:marBottom w:val="0"/>
          <w:divBdr>
            <w:top w:val="none" w:sz="0" w:space="0" w:color="auto"/>
            <w:left w:val="none" w:sz="0" w:space="0" w:color="auto"/>
            <w:bottom w:val="none" w:sz="0" w:space="0" w:color="auto"/>
            <w:right w:val="none" w:sz="0" w:space="0" w:color="auto"/>
          </w:divBdr>
        </w:div>
        <w:div w:id="822240865">
          <w:marLeft w:val="1166"/>
          <w:marRight w:val="0"/>
          <w:marTop w:val="115"/>
          <w:marBottom w:val="0"/>
          <w:divBdr>
            <w:top w:val="none" w:sz="0" w:space="0" w:color="auto"/>
            <w:left w:val="none" w:sz="0" w:space="0" w:color="auto"/>
            <w:bottom w:val="none" w:sz="0" w:space="0" w:color="auto"/>
            <w:right w:val="none" w:sz="0" w:space="0" w:color="auto"/>
          </w:divBdr>
        </w:div>
        <w:div w:id="965816322">
          <w:marLeft w:val="1166"/>
          <w:marRight w:val="0"/>
          <w:marTop w:val="115"/>
          <w:marBottom w:val="0"/>
          <w:divBdr>
            <w:top w:val="none" w:sz="0" w:space="0" w:color="auto"/>
            <w:left w:val="none" w:sz="0" w:space="0" w:color="auto"/>
            <w:bottom w:val="none" w:sz="0" w:space="0" w:color="auto"/>
            <w:right w:val="none" w:sz="0" w:space="0" w:color="auto"/>
          </w:divBdr>
        </w:div>
      </w:divsChild>
    </w:div>
    <w:div w:id="1428647664">
      <w:bodyDiv w:val="1"/>
      <w:marLeft w:val="0"/>
      <w:marRight w:val="0"/>
      <w:marTop w:val="0"/>
      <w:marBottom w:val="0"/>
      <w:divBdr>
        <w:top w:val="none" w:sz="0" w:space="0" w:color="auto"/>
        <w:left w:val="none" w:sz="0" w:space="0" w:color="auto"/>
        <w:bottom w:val="none" w:sz="0" w:space="0" w:color="auto"/>
        <w:right w:val="none" w:sz="0" w:space="0" w:color="auto"/>
      </w:divBdr>
    </w:div>
    <w:div w:id="1479834980">
      <w:bodyDiv w:val="1"/>
      <w:marLeft w:val="0"/>
      <w:marRight w:val="0"/>
      <w:marTop w:val="0"/>
      <w:marBottom w:val="0"/>
      <w:divBdr>
        <w:top w:val="none" w:sz="0" w:space="0" w:color="auto"/>
        <w:left w:val="none" w:sz="0" w:space="0" w:color="auto"/>
        <w:bottom w:val="none" w:sz="0" w:space="0" w:color="auto"/>
        <w:right w:val="none" w:sz="0" w:space="0" w:color="auto"/>
      </w:divBdr>
    </w:div>
    <w:div w:id="1497190607">
      <w:bodyDiv w:val="1"/>
      <w:marLeft w:val="0"/>
      <w:marRight w:val="0"/>
      <w:marTop w:val="0"/>
      <w:marBottom w:val="0"/>
      <w:divBdr>
        <w:top w:val="none" w:sz="0" w:space="0" w:color="auto"/>
        <w:left w:val="none" w:sz="0" w:space="0" w:color="auto"/>
        <w:bottom w:val="none" w:sz="0" w:space="0" w:color="auto"/>
        <w:right w:val="none" w:sz="0" w:space="0" w:color="auto"/>
      </w:divBdr>
      <w:divsChild>
        <w:div w:id="1572349459">
          <w:marLeft w:val="547"/>
          <w:marRight w:val="0"/>
          <w:marTop w:val="115"/>
          <w:marBottom w:val="0"/>
          <w:divBdr>
            <w:top w:val="none" w:sz="0" w:space="0" w:color="auto"/>
            <w:left w:val="none" w:sz="0" w:space="0" w:color="auto"/>
            <w:bottom w:val="none" w:sz="0" w:space="0" w:color="auto"/>
            <w:right w:val="none" w:sz="0" w:space="0" w:color="auto"/>
          </w:divBdr>
        </w:div>
        <w:div w:id="971135600">
          <w:marLeft w:val="547"/>
          <w:marRight w:val="0"/>
          <w:marTop w:val="115"/>
          <w:marBottom w:val="0"/>
          <w:divBdr>
            <w:top w:val="none" w:sz="0" w:space="0" w:color="auto"/>
            <w:left w:val="none" w:sz="0" w:space="0" w:color="auto"/>
            <w:bottom w:val="none" w:sz="0" w:space="0" w:color="auto"/>
            <w:right w:val="none" w:sz="0" w:space="0" w:color="auto"/>
          </w:divBdr>
        </w:div>
        <w:div w:id="301468668">
          <w:marLeft w:val="547"/>
          <w:marRight w:val="0"/>
          <w:marTop w:val="115"/>
          <w:marBottom w:val="0"/>
          <w:divBdr>
            <w:top w:val="none" w:sz="0" w:space="0" w:color="auto"/>
            <w:left w:val="none" w:sz="0" w:space="0" w:color="auto"/>
            <w:bottom w:val="none" w:sz="0" w:space="0" w:color="auto"/>
            <w:right w:val="none" w:sz="0" w:space="0" w:color="auto"/>
          </w:divBdr>
        </w:div>
        <w:div w:id="1030257284">
          <w:marLeft w:val="547"/>
          <w:marRight w:val="0"/>
          <w:marTop w:val="115"/>
          <w:marBottom w:val="0"/>
          <w:divBdr>
            <w:top w:val="none" w:sz="0" w:space="0" w:color="auto"/>
            <w:left w:val="none" w:sz="0" w:space="0" w:color="auto"/>
            <w:bottom w:val="none" w:sz="0" w:space="0" w:color="auto"/>
            <w:right w:val="none" w:sz="0" w:space="0" w:color="auto"/>
          </w:divBdr>
        </w:div>
      </w:divsChild>
    </w:div>
    <w:div w:id="1729644422">
      <w:bodyDiv w:val="1"/>
      <w:marLeft w:val="0"/>
      <w:marRight w:val="0"/>
      <w:marTop w:val="0"/>
      <w:marBottom w:val="0"/>
      <w:divBdr>
        <w:top w:val="none" w:sz="0" w:space="0" w:color="auto"/>
        <w:left w:val="none" w:sz="0" w:space="0" w:color="auto"/>
        <w:bottom w:val="none" w:sz="0" w:space="0" w:color="auto"/>
        <w:right w:val="none" w:sz="0" w:space="0" w:color="auto"/>
      </w:divBdr>
    </w:div>
    <w:div w:id="1828978916">
      <w:bodyDiv w:val="1"/>
      <w:marLeft w:val="0"/>
      <w:marRight w:val="0"/>
      <w:marTop w:val="0"/>
      <w:marBottom w:val="0"/>
      <w:divBdr>
        <w:top w:val="none" w:sz="0" w:space="0" w:color="auto"/>
        <w:left w:val="none" w:sz="0" w:space="0" w:color="auto"/>
        <w:bottom w:val="none" w:sz="0" w:space="0" w:color="auto"/>
        <w:right w:val="none" w:sz="0" w:space="0" w:color="auto"/>
      </w:divBdr>
    </w:div>
    <w:div w:id="1830516949">
      <w:bodyDiv w:val="1"/>
      <w:marLeft w:val="0"/>
      <w:marRight w:val="0"/>
      <w:marTop w:val="0"/>
      <w:marBottom w:val="0"/>
      <w:divBdr>
        <w:top w:val="none" w:sz="0" w:space="0" w:color="auto"/>
        <w:left w:val="none" w:sz="0" w:space="0" w:color="auto"/>
        <w:bottom w:val="none" w:sz="0" w:space="0" w:color="auto"/>
        <w:right w:val="none" w:sz="0" w:space="0" w:color="auto"/>
      </w:divBdr>
    </w:div>
    <w:div w:id="1845122250">
      <w:bodyDiv w:val="1"/>
      <w:marLeft w:val="0"/>
      <w:marRight w:val="0"/>
      <w:marTop w:val="0"/>
      <w:marBottom w:val="0"/>
      <w:divBdr>
        <w:top w:val="none" w:sz="0" w:space="0" w:color="auto"/>
        <w:left w:val="none" w:sz="0" w:space="0" w:color="auto"/>
        <w:bottom w:val="none" w:sz="0" w:space="0" w:color="auto"/>
        <w:right w:val="none" w:sz="0" w:space="0" w:color="auto"/>
      </w:divBdr>
      <w:divsChild>
        <w:div w:id="107746933">
          <w:marLeft w:val="1166"/>
          <w:marRight w:val="0"/>
          <w:marTop w:val="115"/>
          <w:marBottom w:val="0"/>
          <w:divBdr>
            <w:top w:val="none" w:sz="0" w:space="0" w:color="auto"/>
            <w:left w:val="none" w:sz="0" w:space="0" w:color="auto"/>
            <w:bottom w:val="none" w:sz="0" w:space="0" w:color="auto"/>
            <w:right w:val="none" w:sz="0" w:space="0" w:color="auto"/>
          </w:divBdr>
        </w:div>
        <w:div w:id="397825973">
          <w:marLeft w:val="1166"/>
          <w:marRight w:val="0"/>
          <w:marTop w:val="115"/>
          <w:marBottom w:val="0"/>
          <w:divBdr>
            <w:top w:val="none" w:sz="0" w:space="0" w:color="auto"/>
            <w:left w:val="none" w:sz="0" w:space="0" w:color="auto"/>
            <w:bottom w:val="none" w:sz="0" w:space="0" w:color="auto"/>
            <w:right w:val="none" w:sz="0" w:space="0" w:color="auto"/>
          </w:divBdr>
        </w:div>
        <w:div w:id="1283221875">
          <w:marLeft w:val="1166"/>
          <w:marRight w:val="0"/>
          <w:marTop w:val="115"/>
          <w:marBottom w:val="0"/>
          <w:divBdr>
            <w:top w:val="none" w:sz="0" w:space="0" w:color="auto"/>
            <w:left w:val="none" w:sz="0" w:space="0" w:color="auto"/>
            <w:bottom w:val="none" w:sz="0" w:space="0" w:color="auto"/>
            <w:right w:val="none" w:sz="0" w:space="0" w:color="auto"/>
          </w:divBdr>
        </w:div>
        <w:div w:id="21447111">
          <w:marLeft w:val="1166"/>
          <w:marRight w:val="0"/>
          <w:marTop w:val="115"/>
          <w:marBottom w:val="0"/>
          <w:divBdr>
            <w:top w:val="none" w:sz="0" w:space="0" w:color="auto"/>
            <w:left w:val="none" w:sz="0" w:space="0" w:color="auto"/>
            <w:bottom w:val="none" w:sz="0" w:space="0" w:color="auto"/>
            <w:right w:val="none" w:sz="0" w:space="0" w:color="auto"/>
          </w:divBdr>
        </w:div>
        <w:div w:id="2010600291">
          <w:marLeft w:val="1166"/>
          <w:marRight w:val="0"/>
          <w:marTop w:val="115"/>
          <w:marBottom w:val="0"/>
          <w:divBdr>
            <w:top w:val="none" w:sz="0" w:space="0" w:color="auto"/>
            <w:left w:val="none" w:sz="0" w:space="0" w:color="auto"/>
            <w:bottom w:val="none" w:sz="0" w:space="0" w:color="auto"/>
            <w:right w:val="none" w:sz="0" w:space="0" w:color="auto"/>
          </w:divBdr>
        </w:div>
        <w:div w:id="214853196">
          <w:marLeft w:val="1166"/>
          <w:marRight w:val="0"/>
          <w:marTop w:val="115"/>
          <w:marBottom w:val="0"/>
          <w:divBdr>
            <w:top w:val="none" w:sz="0" w:space="0" w:color="auto"/>
            <w:left w:val="none" w:sz="0" w:space="0" w:color="auto"/>
            <w:bottom w:val="none" w:sz="0" w:space="0" w:color="auto"/>
            <w:right w:val="none" w:sz="0" w:space="0" w:color="auto"/>
          </w:divBdr>
        </w:div>
        <w:div w:id="522013137">
          <w:marLeft w:val="1166"/>
          <w:marRight w:val="0"/>
          <w:marTop w:val="115"/>
          <w:marBottom w:val="0"/>
          <w:divBdr>
            <w:top w:val="none" w:sz="0" w:space="0" w:color="auto"/>
            <w:left w:val="none" w:sz="0" w:space="0" w:color="auto"/>
            <w:bottom w:val="none" w:sz="0" w:space="0" w:color="auto"/>
            <w:right w:val="none" w:sz="0" w:space="0" w:color="auto"/>
          </w:divBdr>
        </w:div>
      </w:divsChild>
    </w:div>
    <w:div w:id="1893105605">
      <w:bodyDiv w:val="1"/>
      <w:marLeft w:val="0"/>
      <w:marRight w:val="0"/>
      <w:marTop w:val="0"/>
      <w:marBottom w:val="0"/>
      <w:divBdr>
        <w:top w:val="none" w:sz="0" w:space="0" w:color="auto"/>
        <w:left w:val="none" w:sz="0" w:space="0" w:color="auto"/>
        <w:bottom w:val="none" w:sz="0" w:space="0" w:color="auto"/>
        <w:right w:val="none" w:sz="0" w:space="0" w:color="auto"/>
      </w:divBdr>
    </w:div>
    <w:div w:id="1920139540">
      <w:bodyDiv w:val="1"/>
      <w:marLeft w:val="0"/>
      <w:marRight w:val="0"/>
      <w:marTop w:val="0"/>
      <w:marBottom w:val="0"/>
      <w:divBdr>
        <w:top w:val="none" w:sz="0" w:space="0" w:color="auto"/>
        <w:left w:val="none" w:sz="0" w:space="0" w:color="auto"/>
        <w:bottom w:val="none" w:sz="0" w:space="0" w:color="auto"/>
        <w:right w:val="none" w:sz="0" w:space="0" w:color="auto"/>
      </w:divBdr>
    </w:div>
    <w:div w:id="1934169230">
      <w:bodyDiv w:val="1"/>
      <w:marLeft w:val="0"/>
      <w:marRight w:val="0"/>
      <w:marTop w:val="0"/>
      <w:marBottom w:val="0"/>
      <w:divBdr>
        <w:top w:val="none" w:sz="0" w:space="0" w:color="auto"/>
        <w:left w:val="none" w:sz="0" w:space="0" w:color="auto"/>
        <w:bottom w:val="none" w:sz="0" w:space="0" w:color="auto"/>
        <w:right w:val="none" w:sz="0" w:space="0" w:color="auto"/>
      </w:divBdr>
    </w:div>
    <w:div w:id="1953438439">
      <w:bodyDiv w:val="1"/>
      <w:marLeft w:val="0"/>
      <w:marRight w:val="0"/>
      <w:marTop w:val="0"/>
      <w:marBottom w:val="0"/>
      <w:divBdr>
        <w:top w:val="none" w:sz="0" w:space="0" w:color="auto"/>
        <w:left w:val="none" w:sz="0" w:space="0" w:color="auto"/>
        <w:bottom w:val="none" w:sz="0" w:space="0" w:color="auto"/>
        <w:right w:val="none" w:sz="0" w:space="0" w:color="auto"/>
      </w:divBdr>
    </w:div>
    <w:div w:id="1958295606">
      <w:bodyDiv w:val="1"/>
      <w:marLeft w:val="0"/>
      <w:marRight w:val="0"/>
      <w:marTop w:val="0"/>
      <w:marBottom w:val="0"/>
      <w:divBdr>
        <w:top w:val="none" w:sz="0" w:space="0" w:color="auto"/>
        <w:left w:val="none" w:sz="0" w:space="0" w:color="auto"/>
        <w:bottom w:val="none" w:sz="0" w:space="0" w:color="auto"/>
        <w:right w:val="none" w:sz="0" w:space="0" w:color="auto"/>
      </w:divBdr>
      <w:divsChild>
        <w:div w:id="687678215">
          <w:marLeft w:val="547"/>
          <w:marRight w:val="0"/>
          <w:marTop w:val="115"/>
          <w:marBottom w:val="0"/>
          <w:divBdr>
            <w:top w:val="none" w:sz="0" w:space="0" w:color="auto"/>
            <w:left w:val="none" w:sz="0" w:space="0" w:color="auto"/>
            <w:bottom w:val="none" w:sz="0" w:space="0" w:color="auto"/>
            <w:right w:val="none" w:sz="0" w:space="0" w:color="auto"/>
          </w:divBdr>
        </w:div>
        <w:div w:id="1600597071">
          <w:marLeft w:val="547"/>
          <w:marRight w:val="0"/>
          <w:marTop w:val="115"/>
          <w:marBottom w:val="0"/>
          <w:divBdr>
            <w:top w:val="none" w:sz="0" w:space="0" w:color="auto"/>
            <w:left w:val="none" w:sz="0" w:space="0" w:color="auto"/>
            <w:bottom w:val="none" w:sz="0" w:space="0" w:color="auto"/>
            <w:right w:val="none" w:sz="0" w:space="0" w:color="auto"/>
          </w:divBdr>
        </w:div>
        <w:div w:id="1483692633">
          <w:marLeft w:val="547"/>
          <w:marRight w:val="0"/>
          <w:marTop w:val="115"/>
          <w:marBottom w:val="0"/>
          <w:divBdr>
            <w:top w:val="none" w:sz="0" w:space="0" w:color="auto"/>
            <w:left w:val="none" w:sz="0" w:space="0" w:color="auto"/>
            <w:bottom w:val="none" w:sz="0" w:space="0" w:color="auto"/>
            <w:right w:val="none" w:sz="0" w:space="0" w:color="auto"/>
          </w:divBdr>
        </w:div>
        <w:div w:id="565190414">
          <w:marLeft w:val="547"/>
          <w:marRight w:val="0"/>
          <w:marTop w:val="115"/>
          <w:marBottom w:val="0"/>
          <w:divBdr>
            <w:top w:val="none" w:sz="0" w:space="0" w:color="auto"/>
            <w:left w:val="none" w:sz="0" w:space="0" w:color="auto"/>
            <w:bottom w:val="none" w:sz="0" w:space="0" w:color="auto"/>
            <w:right w:val="none" w:sz="0" w:space="0" w:color="auto"/>
          </w:divBdr>
        </w:div>
      </w:divsChild>
    </w:div>
    <w:div w:id="2044594263">
      <w:bodyDiv w:val="1"/>
      <w:marLeft w:val="0"/>
      <w:marRight w:val="0"/>
      <w:marTop w:val="0"/>
      <w:marBottom w:val="0"/>
      <w:divBdr>
        <w:top w:val="none" w:sz="0" w:space="0" w:color="auto"/>
        <w:left w:val="none" w:sz="0" w:space="0" w:color="auto"/>
        <w:bottom w:val="none" w:sz="0" w:space="0" w:color="auto"/>
        <w:right w:val="none" w:sz="0" w:space="0" w:color="auto"/>
      </w:divBdr>
      <w:divsChild>
        <w:div w:id="731582939">
          <w:marLeft w:val="547"/>
          <w:marRight w:val="0"/>
          <w:marTop w:val="115"/>
          <w:marBottom w:val="0"/>
          <w:divBdr>
            <w:top w:val="none" w:sz="0" w:space="0" w:color="auto"/>
            <w:left w:val="none" w:sz="0" w:space="0" w:color="auto"/>
            <w:bottom w:val="none" w:sz="0" w:space="0" w:color="auto"/>
            <w:right w:val="none" w:sz="0" w:space="0" w:color="auto"/>
          </w:divBdr>
        </w:div>
        <w:div w:id="188571775">
          <w:marLeft w:val="547"/>
          <w:marRight w:val="0"/>
          <w:marTop w:val="115"/>
          <w:marBottom w:val="0"/>
          <w:divBdr>
            <w:top w:val="none" w:sz="0" w:space="0" w:color="auto"/>
            <w:left w:val="none" w:sz="0" w:space="0" w:color="auto"/>
            <w:bottom w:val="none" w:sz="0" w:space="0" w:color="auto"/>
            <w:right w:val="none" w:sz="0" w:space="0" w:color="auto"/>
          </w:divBdr>
        </w:div>
      </w:divsChild>
    </w:div>
    <w:div w:id="2116440826">
      <w:bodyDiv w:val="1"/>
      <w:marLeft w:val="0"/>
      <w:marRight w:val="0"/>
      <w:marTop w:val="0"/>
      <w:marBottom w:val="0"/>
      <w:divBdr>
        <w:top w:val="none" w:sz="0" w:space="0" w:color="auto"/>
        <w:left w:val="none" w:sz="0" w:space="0" w:color="auto"/>
        <w:bottom w:val="none" w:sz="0" w:space="0" w:color="auto"/>
        <w:right w:val="none" w:sz="0" w:space="0" w:color="auto"/>
      </w:divBdr>
    </w:div>
    <w:div w:id="21211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2014/09/25/us/25shooters.html" TargetMode="External"/><Relationship Id="rId13" Type="http://schemas.openxmlformats.org/officeDocument/2006/relationships/hyperlink" Target="https://www.ready.gov/individuals-access-functional-needs" TargetMode="External"/><Relationship Id="rId3" Type="http://schemas.openxmlformats.org/officeDocument/2006/relationships/hyperlink" Target="https://www.ada.gov/briefs/calif_interest_br.pdf" TargetMode="External"/><Relationship Id="rId7" Type="http://schemas.openxmlformats.org/officeDocument/2006/relationships/hyperlink" Target="http://dralegal.org/case/d-c-center-independent-living-et-al-v-district-columbia/" TargetMode="External"/><Relationship Id="rId12" Type="http://schemas.openxmlformats.org/officeDocument/2006/relationships/hyperlink" Target="https://www.hhs.gov/sites/default/files/ocr/civilrights/resources/specialtopics/emergencypre/eptrainingppt.pdf" TargetMode="External"/><Relationship Id="rId2" Type="http://schemas.openxmlformats.org/officeDocument/2006/relationships/hyperlink" Target="http://dralegal.org/case/california-foundation-for-independent-living-centers-cfilc-et-al-v-city-of-oakland-et-al/" TargetMode="External"/><Relationship Id="rId1" Type="http://schemas.openxmlformats.org/officeDocument/2006/relationships/hyperlink" Target="http://www.ncd.gov/publications/2006/Aug072006" TargetMode="External"/><Relationship Id="rId6" Type="http://schemas.openxmlformats.org/officeDocument/2006/relationships/hyperlink" Target="http://dralegal.org/case/brooklyn-center-for-independence-of-the-disabled-bcid-et-al-v-mayor-bloomberg-et-al/" TargetMode="External"/><Relationship Id="rId11" Type="http://schemas.openxmlformats.org/officeDocument/2006/relationships/hyperlink" Target="https://www.ada.gov/emerprepguideprt.pdf" TargetMode="External"/><Relationship Id="rId5" Type="http://schemas.openxmlformats.org/officeDocument/2006/relationships/hyperlink" Target="http://www.ada.gov/brooklyn-cil-brief.doc" TargetMode="External"/><Relationship Id="rId10" Type="http://schemas.openxmlformats.org/officeDocument/2006/relationships/hyperlink" Target="https://www.ada.gov/pcatoolkit/chap7emergencymgmtadd1.pdf" TargetMode="External"/><Relationship Id="rId4" Type="http://schemas.openxmlformats.org/officeDocument/2006/relationships/hyperlink" Target="http://dralegal.org/case/communities-actively-living-independent-and-free-calif-et-al-v-city-of-los-angeles/" TargetMode="External"/><Relationship Id="rId9" Type="http://schemas.openxmlformats.org/officeDocument/2006/relationships/hyperlink" Target="http://www.equipforequality.org/news-item/settlement-agreement-addresses-emergency-preparedness-people-disabilities-school-set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35F90-74E3-4631-958D-76ECA8D6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5378</Words>
  <Characters>29957</Characters>
  <Application>Microsoft Office Word</Application>
  <DocSecurity>0</DocSecurity>
  <Lines>525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BarryT</dc:creator>
  <cp:lastModifiedBy>Lewis Kraus</cp:lastModifiedBy>
  <cp:revision>4</cp:revision>
  <dcterms:created xsi:type="dcterms:W3CDTF">2018-02-08T16:33:00Z</dcterms:created>
  <dcterms:modified xsi:type="dcterms:W3CDTF">2018-02-08T17:14:00Z</dcterms:modified>
</cp:coreProperties>
</file>